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40304D">
        <w:rPr>
          <w:rFonts w:cs="Arial"/>
        </w:rPr>
        <w:t>6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                              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40304D">
        <w:rPr>
          <w:rFonts w:ascii="Arial" w:hAnsi="Arial" w:cs="Arial"/>
          <w:b/>
          <w:bCs/>
          <w:szCs w:val="20"/>
        </w:rPr>
        <w:t>6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40304D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Monitor hemodynamiczny</w:t>
      </w:r>
      <w:r w:rsidR="00EA25E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B901C5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Rok produkcji – fabrycznie nowe, </w:t>
            </w:r>
            <w:r w:rsidR="00E615F3" w:rsidRPr="009528DB">
              <w:rPr>
                <w:rFonts w:ascii="Arial" w:hAnsi="Arial" w:cs="Arial"/>
              </w:rPr>
              <w:t>20</w:t>
            </w:r>
            <w:r w:rsidR="00B901C5">
              <w:rPr>
                <w:rFonts w:ascii="Arial" w:hAnsi="Arial" w:cs="Arial"/>
              </w:rPr>
              <w:t xml:space="preserve">20 </w:t>
            </w:r>
            <w:r w:rsidRPr="009528DB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901C5" w:rsidRDefault="00A45CE7" w:rsidP="00A60C8C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Menu i instrukcja obsługi w języku polskim.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A25EF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5CE7" w:rsidRPr="00BF33E4" w:rsidRDefault="00A45CE7" w:rsidP="00A45C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Ciągłe monitorowanie ciśnienia tętniczego metodą małoinwazyjną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Ciągłe monitorowanie ciśnienia tętniczego metodą nieinwazyjną (funkcja opcjonalna do rozbudowy)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 Ciągłe monitorowanie głębokości znieczulenia metodą BIS (funkcja opcjonalna do rozbudowy)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Wykorzystanie dotychczas stosowanych systemów i procedur pomiaru ciśnienia inwazyjnego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Bez konieczności stosowania dodatkowego przetwornikiem ciśnienia inwazyjnego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DE1905" w:rsidRDefault="00A45CE7" w:rsidP="00A45CE7">
            <w:pPr>
              <w:rPr>
                <w:rFonts w:ascii="Calibri" w:hAnsi="Calibri" w:cs="Calibri"/>
              </w:rPr>
            </w:pPr>
            <w:r w:rsidRPr="00DE1905">
              <w:rPr>
                <w:rFonts w:ascii="Calibri" w:hAnsi="Calibri" w:cs="Calibri"/>
              </w:rPr>
              <w:t xml:space="preserve">Współpraca z kardiomonitorem </w:t>
            </w:r>
            <w:r w:rsidRPr="00DE1905">
              <w:rPr>
                <w:rFonts w:ascii="Calibri" w:hAnsi="Calibri" w:cs="Calibri"/>
                <w:bCs/>
              </w:rPr>
              <w:t>Nihon</w:t>
            </w:r>
            <w:r w:rsidRPr="00DE1905">
              <w:rPr>
                <w:rFonts w:ascii="Calibri" w:hAnsi="Calibri" w:cs="Calibri"/>
                <w:bCs/>
              </w:rPr>
              <w:br/>
              <w:t xml:space="preserve">Koden </w:t>
            </w:r>
            <w:r w:rsidRPr="00DE1905">
              <w:rPr>
                <w:rFonts w:ascii="Calibri" w:hAnsi="Calibri" w:cs="Calibri"/>
              </w:rPr>
              <w:t xml:space="preserve">realizującym inwazyjny pomiar ciśnienia </w:t>
            </w:r>
            <w:r w:rsidRPr="00DE1905">
              <w:rPr>
                <w:rFonts w:ascii="Calibri" w:hAnsi="Calibri" w:cs="Calibri"/>
                <w:bCs/>
              </w:rPr>
              <w:t>(poprzez wyjście analog</w:t>
            </w:r>
            <w:r w:rsidRPr="00DE1905">
              <w:rPr>
                <w:rFonts w:ascii="Calibri" w:hAnsi="Calibri" w:cs="Calibri"/>
              </w:rPr>
              <w:t xml:space="preserve"> </w:t>
            </w:r>
            <w:r w:rsidRPr="00DE1905">
              <w:rPr>
                <w:rFonts w:ascii="Calibri" w:hAnsi="Calibri" w:cs="Calibri"/>
                <w:bCs/>
              </w:rPr>
              <w:t>output)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Bez wymogu specjalnego dodatkowego dostęp tętniczego lub żylnego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 xml:space="preserve">Wykorzystanie standardowego sygnału z kardiomonitora modułowego </w:t>
            </w:r>
            <w:r w:rsidRPr="00DE1905">
              <w:rPr>
                <w:rFonts w:ascii="Calibri" w:hAnsi="Calibri" w:cs="Calibri"/>
                <w:bCs/>
              </w:rPr>
              <w:t>Nihon</w:t>
            </w:r>
            <w:r w:rsidRPr="00DE1905">
              <w:rPr>
                <w:rFonts w:ascii="Calibri" w:hAnsi="Calibri" w:cs="Calibri"/>
                <w:bCs/>
              </w:rPr>
              <w:br/>
              <w:t xml:space="preserve">Koden </w:t>
            </w:r>
            <w:r w:rsidRPr="00B02B8D">
              <w:rPr>
                <w:rFonts w:ascii="Calibri" w:hAnsi="Calibri" w:cs="Arial"/>
              </w:rPr>
              <w:t xml:space="preserve">z dostępem tętniczym: tętnica promieniowa, udowa, grzbietowa stopy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Monitor niekalibrowany z możliwością kalibracji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Monitorowane parametry:</w:t>
            </w:r>
          </w:p>
          <w:p w:rsidR="00A45CE7" w:rsidRPr="00B02B8D" w:rsidRDefault="00A45CE7" w:rsidP="00A45CE7">
            <w:pPr>
              <w:numPr>
                <w:ilvl w:val="0"/>
                <w:numId w:val="7"/>
              </w:numPr>
              <w:snapToGrid w:val="0"/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ciśnienie: średnie ciśnienie tętnicze (MAP), skurczowe (SYS) i rozkurczowe (DIA);</w:t>
            </w:r>
          </w:p>
          <w:p w:rsidR="00A45CE7" w:rsidRPr="00B02B8D" w:rsidRDefault="00A45CE7" w:rsidP="00A45CE7">
            <w:pPr>
              <w:numPr>
                <w:ilvl w:val="0"/>
                <w:numId w:val="7"/>
              </w:numPr>
              <w:snapToGrid w:val="0"/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częstość akcji serca (HR);</w:t>
            </w:r>
          </w:p>
          <w:p w:rsidR="00A45CE7" w:rsidRPr="00B02B8D" w:rsidRDefault="00A45CE7" w:rsidP="00A45CE7">
            <w:pPr>
              <w:numPr>
                <w:ilvl w:val="0"/>
                <w:numId w:val="7"/>
              </w:numPr>
              <w:snapToGrid w:val="0"/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zmienność akcji serca (HRV);</w:t>
            </w:r>
          </w:p>
          <w:p w:rsidR="00A45CE7" w:rsidRPr="00B02B8D" w:rsidRDefault="00A45CE7" w:rsidP="00A45CE7">
            <w:pPr>
              <w:numPr>
                <w:ilvl w:val="0"/>
                <w:numId w:val="7"/>
              </w:numPr>
              <w:snapToGrid w:val="0"/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objętość wyrzutowa serca (SV; SVI);</w:t>
            </w:r>
          </w:p>
          <w:p w:rsidR="00A45CE7" w:rsidRPr="00B02B8D" w:rsidRDefault="00A45CE7" w:rsidP="00A45CE7">
            <w:pPr>
              <w:numPr>
                <w:ilvl w:val="0"/>
                <w:numId w:val="7"/>
              </w:numPr>
              <w:snapToGrid w:val="0"/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pojemność minutowa serca (CO, CI);</w:t>
            </w:r>
          </w:p>
          <w:p w:rsidR="00A45CE7" w:rsidRPr="00B02B8D" w:rsidRDefault="00A45CE7" w:rsidP="00A45CE7">
            <w:pPr>
              <w:numPr>
                <w:ilvl w:val="0"/>
                <w:numId w:val="7"/>
              </w:numPr>
              <w:snapToGrid w:val="0"/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układowy opór naczyniowy (SVR, SVRI);</w:t>
            </w:r>
          </w:p>
          <w:p w:rsidR="00A45CE7" w:rsidRPr="00B02B8D" w:rsidRDefault="00A45CE7" w:rsidP="00A45CE7">
            <w:pPr>
              <w:numPr>
                <w:ilvl w:val="0"/>
                <w:numId w:val="7"/>
              </w:numPr>
              <w:snapToGrid w:val="0"/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dynamiczne parametry obciążenia wstępnego serca: zmiany ciśnienia tętna (PPV) i objętości wyrzutowej (SVV)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F33E4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Monitorowanie zmian parametrów hemodynamicznych po interwencji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45CE7" w:rsidRPr="00B901C5" w:rsidRDefault="00A45CE7" w:rsidP="00A45CE7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Monitorowanie parametrów w czasie rzeczywistym: w cyklu skurcz-skurcz, bez uśrednienia wartości i z możliwością uśrednienia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Monitorowanie parametrów w postaci graficznej (trendy) i cyfrowej (tabelarycznej)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Możliwość ustawienia znacznika wartości wyjściowych lub docelowych monitorowanych parametrów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Jednoczesne wyświetlanie cyfrowych i graficznych parametrów na ekranie monitora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 xml:space="preserve">Długoczasowa rejestracja monitorowanych parametrów w celu ich późniejszej analizy </w:t>
            </w:r>
          </w:p>
          <w:p w:rsidR="00A45CE7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 xml:space="preserve">(min. </w:t>
            </w:r>
            <w:r>
              <w:rPr>
                <w:rFonts w:ascii="Calibri" w:hAnsi="Calibri" w:cs="Arial"/>
              </w:rPr>
              <w:t>3</w:t>
            </w:r>
            <w:r w:rsidRPr="00B02B8D">
              <w:rPr>
                <w:rFonts w:ascii="Calibri" w:hAnsi="Calibri" w:cs="Arial"/>
              </w:rPr>
              <w:t xml:space="preserve"> miesi</w:t>
            </w:r>
            <w:r>
              <w:rPr>
                <w:rFonts w:ascii="Calibri" w:hAnsi="Calibri" w:cs="Arial"/>
              </w:rPr>
              <w:t>ą</w:t>
            </w:r>
            <w:r w:rsidRPr="00B02B8D">
              <w:rPr>
                <w:rFonts w:ascii="Calibri" w:hAnsi="Calibri" w:cs="Arial"/>
              </w:rPr>
              <w:t>c</w:t>
            </w:r>
            <w:r>
              <w:rPr>
                <w:rFonts w:ascii="Calibri" w:hAnsi="Calibri" w:cs="Arial"/>
              </w:rPr>
              <w:t>e</w:t>
            </w:r>
            <w:r w:rsidRPr="00B02B8D">
              <w:rPr>
                <w:rFonts w:ascii="Calibri" w:hAnsi="Calibri" w:cs="Arial"/>
              </w:rPr>
              <w:t>)</w:t>
            </w:r>
          </w:p>
          <w:p w:rsidR="00A45CE7" w:rsidRPr="00B901C5" w:rsidRDefault="00A45CE7" w:rsidP="00A45CE7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A45CE7" w:rsidRDefault="00A45CE7" w:rsidP="00A45CE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- min. 3 mies. – 0 pkt</w:t>
            </w:r>
          </w:p>
          <w:p w:rsidR="00A45CE7" w:rsidRDefault="00A45CE7" w:rsidP="00A45CE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- Powyżej 3 do 6 mies. – 10 pkt</w:t>
            </w:r>
          </w:p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- Powyżej 6 mies. – 20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Możliwość przeglądania zarejestrowanych parametrów w postaci graficznej lub cyfrowej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Możliwość przesyłania monitorowanych parametrów do zewnętrznego szpitalnego systemu informatycznego: Ethernet, USB, RS232C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pStyle w:val="Nagwek3"/>
              <w:jc w:val="center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Oprogramowanie do przeglądania i analizy zarejestrowanych parametrów monitorowania do instalacji na komputerach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Możliwość dopasowania interfejsu do potrzeb Użytkownika, w tym konfiguracji skrótów lub przycisków ekranowych do szybkiego uruchamiania najczęściej wykorzystywanych funkcji.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  <w:lang w:val="en-US"/>
              </w:rPr>
            </w:pPr>
            <w:r w:rsidRPr="00B901C5">
              <w:rPr>
                <w:rFonts w:ascii="Arial" w:hAnsi="Arial" w:cs="Arial"/>
                <w:lang w:val="en-US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23</w:t>
            </w:r>
            <w:r w:rsidRPr="007E3CA5">
              <w:rPr>
                <w:rFonts w:ascii="Arial" w:hAnsi="Arial"/>
                <w:lang w:val="en-US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Ekran monitora: dotykowy, kolorowy LCD, min. 1</w:t>
            </w:r>
            <w:r>
              <w:rPr>
                <w:rFonts w:ascii="Calibri" w:hAnsi="Calibri" w:cs="Arial"/>
              </w:rPr>
              <w:t>2</w:t>
            </w:r>
            <w:r w:rsidRPr="00B02B8D">
              <w:rPr>
                <w:rFonts w:ascii="Calibri" w:hAnsi="Calibri" w:cs="Arial"/>
              </w:rPr>
              <w:t>”</w:t>
            </w:r>
          </w:p>
          <w:p w:rsidR="00A45CE7" w:rsidRPr="00B901C5" w:rsidRDefault="00A45CE7" w:rsidP="00A45CE7">
            <w:pPr>
              <w:rPr>
                <w:rFonts w:ascii="Arial" w:hAnsi="Arial" w:cs="Arial"/>
                <w:u w:val="single"/>
              </w:rPr>
            </w:pPr>
            <w:r w:rsidRPr="00B901C5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A45CE7" w:rsidRDefault="00A45CE7" w:rsidP="00A45CE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- od 12 do poniżej 15 cali – 0 pkt; </w:t>
            </w:r>
          </w:p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- 15 cali i więcej – 20 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 xml:space="preserve">Zasilanie akumulatorowe monitora </w:t>
            </w:r>
            <w:r>
              <w:rPr>
                <w:rFonts w:ascii="Calibri" w:hAnsi="Calibri" w:cs="Arial"/>
              </w:rPr>
              <w:t>na min 8</w:t>
            </w:r>
            <w:r w:rsidRPr="00B02B8D">
              <w:rPr>
                <w:rFonts w:ascii="Calibri" w:hAnsi="Calibri" w:cs="Arial"/>
              </w:rPr>
              <w:t xml:space="preserve"> godziny ciągłej pracy.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5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D231CD" w:rsidRDefault="00A45CE7" w:rsidP="00A45CE7">
            <w:pPr>
              <w:rPr>
                <w:rFonts w:ascii="Calibri" w:hAnsi="Calibri" w:cs="Arial"/>
              </w:rPr>
            </w:pPr>
            <w:r w:rsidRPr="00D231CD">
              <w:rPr>
                <w:rFonts w:ascii="Calibri" w:hAnsi="Calibri" w:cs="Arial"/>
              </w:rPr>
              <w:t xml:space="preserve">Licencja użytkowa do monitora hemodynamicznego metodą małoinwazyjną na nielimitowaną eksploatację typu wielopacjentowa na okres </w:t>
            </w:r>
            <w:r>
              <w:rPr>
                <w:rFonts w:ascii="Calibri" w:hAnsi="Calibri" w:cs="Arial"/>
              </w:rPr>
              <w:t>12</w:t>
            </w:r>
            <w:r w:rsidRPr="00D231CD">
              <w:rPr>
                <w:rFonts w:ascii="Calibri" w:hAnsi="Calibri" w:cs="Arial"/>
              </w:rPr>
              <w:t xml:space="preserve"> m-cy (</w:t>
            </w:r>
            <w:r w:rsidRPr="00D231CD">
              <w:rPr>
                <w:rFonts w:ascii="Calibri" w:hAnsi="Calibri" w:cs="Arial"/>
                <w:bCs/>
              </w:rPr>
              <w:t>bez koniecznośći stosowania dodatkowego sprzętu zużywalnego i ponoszenia dodatkowych kosztów)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 xml:space="preserve">Opcja. </w:t>
            </w:r>
            <w:r w:rsidRPr="00B02B8D">
              <w:rPr>
                <w:rFonts w:ascii="Calibri" w:hAnsi="Calibri" w:cs="Arial"/>
              </w:rPr>
              <w:t>Kompatybilność z kartami eksploatacyjnymi – czasowymi z chipowym mikroprocesorem (zgodna z ISO 7816-1) do identyfikacji pacjenta i zapisu danych demograficznych do monitora hemodynamicznego metodą małoinwazyjną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trHeight w:val="288"/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B02B8D" w:rsidRDefault="00A45CE7" w:rsidP="00A45CE7">
            <w:pPr>
              <w:rPr>
                <w:rFonts w:ascii="Calibri" w:hAnsi="Calibri" w:cs="Arial"/>
              </w:rPr>
            </w:pPr>
            <w:r w:rsidRPr="00B02B8D">
              <w:rPr>
                <w:rFonts w:ascii="Calibri" w:hAnsi="Calibri" w:cs="Arial"/>
              </w:rPr>
              <w:t>Pełna polska wersja językowa tj oprogramowanie, menu, opisy na obudowie, instrukcja obsługi itp.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45CE7" w:rsidRPr="00FA4CE7" w:rsidTr="00A77E30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7E3CA5" w:rsidRDefault="00A45CE7" w:rsidP="00A45CE7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2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D231CD" w:rsidRDefault="00A45CE7" w:rsidP="00A45CE7">
            <w:pPr>
              <w:rPr>
                <w:rFonts w:ascii="Calibri" w:hAnsi="Calibri" w:cs="Arial"/>
              </w:rPr>
            </w:pPr>
            <w:r w:rsidRPr="00D231CD">
              <w:rPr>
                <w:rFonts w:ascii="Calibri" w:hAnsi="Calibri" w:cs="Arial"/>
              </w:rPr>
              <w:t>W zestawie przewód podłączeniow do kardiomonitora Nihon Kohden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B901C5" w:rsidRDefault="00A45CE7" w:rsidP="00A45CE7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A45CE7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946DEC" w:rsidRDefault="00A45CE7" w:rsidP="00A45C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45CE7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Pr="00946DEC" w:rsidRDefault="00A45CE7" w:rsidP="00A45CE7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29.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A45CE7" w:rsidRDefault="00A45CE7" w:rsidP="00A45CE7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A45CE7" w:rsidRPr="00D94050" w:rsidRDefault="00A45CE7" w:rsidP="00A45CE7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21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45CE7" w:rsidRPr="00946DEC" w:rsidRDefault="00A45CE7" w:rsidP="00A45C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5CE7" w:rsidRPr="00F363F9" w:rsidRDefault="00A45CE7" w:rsidP="00A45CE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E34970" w:rsidRPr="00F013A7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m-cy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75F" w:rsidRDefault="00B3475F" w:rsidP="00C7451F">
      <w:r>
        <w:separator/>
      </w:r>
    </w:p>
  </w:endnote>
  <w:endnote w:type="continuationSeparator" w:id="0">
    <w:p w:rsidR="00B3475F" w:rsidRDefault="00B3475F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A13E42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A13E42">
      <w:rPr>
        <w:noProof/>
      </w:rPr>
      <w:t>4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75F" w:rsidRDefault="00B3475F" w:rsidP="00C7451F">
      <w:r>
        <w:separator/>
      </w:r>
    </w:p>
  </w:footnote>
  <w:footnote w:type="continuationSeparator" w:id="0">
    <w:p w:rsidR="00B3475F" w:rsidRDefault="00B3475F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733052"/>
    <w:multiLevelType w:val="hybridMultilevel"/>
    <w:tmpl w:val="EA6845A8"/>
    <w:lvl w:ilvl="0" w:tplc="F71EEAEE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231C5"/>
    <w:rsid w:val="00127011"/>
    <w:rsid w:val="001842C3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B7009"/>
    <w:rsid w:val="002F450D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304D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14F53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13E42"/>
    <w:rsid w:val="00A2697D"/>
    <w:rsid w:val="00A45CE7"/>
    <w:rsid w:val="00A60C8C"/>
    <w:rsid w:val="00A77B9F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3475F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8DA48-4122-4266-8970-7E3966FD2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1029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7190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2</cp:revision>
  <cp:lastPrinted>2017-03-13T08:22:00Z</cp:lastPrinted>
  <dcterms:created xsi:type="dcterms:W3CDTF">2020-11-13T10:40:00Z</dcterms:created>
  <dcterms:modified xsi:type="dcterms:W3CDTF">2020-11-13T10:40:00Z</dcterms:modified>
</cp:coreProperties>
</file>