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false"/>
          <w:b w:val="false"/>
          <w:sz w:val="20"/>
          <w:u w:val="none"/>
        </w:rPr>
      </w:pPr>
      <w:r>
        <w:rPr>
          <w:rFonts w:cs="Arial" w:ascii="Arial" w:hAnsi="Arial"/>
          <w:sz w:val="20"/>
          <w:u w:val="none"/>
        </w:rPr>
        <w:t>Załącznik nr 2 - 5                                                                                                    ZOZ/DZP/PN/21/17</w:t>
      </w:r>
    </w:p>
    <w:p>
      <w:pPr>
        <w:pStyle w:val="Standard"/>
        <w:rPr>
          <w:rFonts w:ascii="Tahoma" w:hAnsi="Tahoma" w:cs="Tahoma"/>
          <w:b/>
          <w:b/>
          <w:bCs/>
          <w:sz w:val="20"/>
          <w:szCs w:val="20"/>
        </w:rPr>
      </w:pPr>
      <w:r>
        <w:rPr>
          <w:rFonts w:cs="Tahoma" w:ascii="Tahoma" w:hAnsi="Tahoma"/>
          <w:b/>
          <w:bCs/>
          <w:sz w:val="20"/>
          <w:szCs w:val="20"/>
        </w:rPr>
      </w:r>
    </w:p>
    <w:p>
      <w:pPr>
        <w:pStyle w:val="Standard"/>
        <w:rPr>
          <w:rFonts w:ascii="Tahoma" w:hAnsi="Tahoma" w:cs="Tahoma"/>
          <w:b/>
          <w:b/>
          <w:bCs/>
          <w:sz w:val="20"/>
          <w:szCs w:val="20"/>
        </w:rPr>
      </w:pPr>
      <w:r>
        <w:rPr>
          <w:rFonts w:cs="Tahoma" w:ascii="Tahoma" w:hAnsi="Tahoma"/>
          <w:b/>
          <w:bCs/>
          <w:sz w:val="20"/>
          <w:szCs w:val="20"/>
        </w:rPr>
      </w:r>
    </w:p>
    <w:p>
      <w:pPr>
        <w:pStyle w:val="Standard"/>
        <w:rPr>
          <w:rFonts w:ascii="Tahoma" w:hAnsi="Tahoma" w:cs="Tahoma"/>
          <w:b/>
          <w:b/>
          <w:bCs/>
          <w:sz w:val="20"/>
          <w:szCs w:val="20"/>
        </w:rPr>
      </w:pPr>
      <w:r>
        <w:rPr>
          <w:rFonts w:cs="Tahoma" w:ascii="Tahoma" w:hAnsi="Tahoma"/>
          <w:b/>
          <w:bCs/>
          <w:sz w:val="20"/>
          <w:szCs w:val="20"/>
        </w:rPr>
        <w:t>Zadanie nr 5</w:t>
      </w:r>
    </w:p>
    <w:p>
      <w:pPr>
        <w:pStyle w:val="Standard"/>
        <w:rPr>
          <w:rFonts w:ascii="Tahoma" w:hAnsi="Tahoma" w:cs="Tahoma"/>
          <w:b/>
          <w:b/>
          <w:bCs/>
          <w:color w:val="FF0000"/>
          <w:sz w:val="20"/>
          <w:szCs w:val="20"/>
        </w:rPr>
      </w:pPr>
      <w:r>
        <w:rPr>
          <w:rFonts w:cs="Tahoma" w:ascii="Tahoma" w:hAnsi="Tahoma"/>
          <w:b/>
          <w:bCs/>
          <w:color w:val="FF0000"/>
          <w:sz w:val="20"/>
          <w:szCs w:val="20"/>
        </w:rPr>
      </w:r>
    </w:p>
    <w:p>
      <w:pPr>
        <w:pStyle w:val="Normal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  <w:t>Udogodnienia  szt.</w:t>
      </w:r>
    </w:p>
    <w:p>
      <w:pPr>
        <w:pStyle w:val="Normal"/>
        <w:rPr>
          <w:rFonts w:ascii="Tahoma" w:hAnsi="Tahoma" w:cs="Tahoma"/>
          <w:b/>
          <w:b/>
        </w:rPr>
      </w:pPr>
      <w:r>
        <w:rPr>
          <w:rFonts w:cs="Tahoma" w:ascii="Tahoma" w:hAnsi="Tahoma"/>
          <w:b/>
        </w:rPr>
      </w:r>
    </w:p>
    <w:tbl>
      <w:tblPr>
        <w:tblW w:w="9495" w:type="dxa"/>
        <w:jc w:val="center"/>
        <w:tblInd w:w="0" w:type="dxa"/>
        <w:tblBorders>
          <w:top w:val="single" w:sz="2" w:space="0" w:color="000001"/>
          <w:left w:val="single" w:sz="2" w:space="0" w:color="000001"/>
          <w:bottom w:val="single" w:sz="4" w:space="0" w:color="00000A"/>
          <w:right w:val="single" w:sz="2" w:space="0" w:color="000001"/>
          <w:insideH w:val="single" w:sz="4" w:space="0" w:color="00000A"/>
          <w:insideV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711"/>
        <w:gridCol w:w="4675"/>
        <w:gridCol w:w="1486"/>
        <w:gridCol w:w="2622"/>
      </w:tblGrid>
      <w:tr>
        <w:trPr/>
        <w:tc>
          <w:tcPr>
            <w:tcW w:w="9494" w:type="dxa"/>
            <w:gridSpan w:val="4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Producent/kraj:</w:t>
            </w:r>
          </w:p>
        </w:tc>
      </w:tr>
      <w:tr>
        <w:trPr/>
        <w:tc>
          <w:tcPr>
            <w:tcW w:w="71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cs="Tahoma" w:ascii="Tahoma" w:hAnsi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bCs/>
                <w:sz w:val="22"/>
                <w:szCs w:val="22"/>
              </w:rPr>
              <w:t>Wartość wymagana</w:t>
            </w:r>
          </w:p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2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2"/>
                <w:szCs w:val="22"/>
              </w:rPr>
            </w:pPr>
            <w:r>
              <w:rPr>
                <w:rFonts w:cs="Tahoma" w:ascii="Tahoma" w:hAnsi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bCs/>
                <w:sz w:val="20"/>
                <w:szCs w:val="20"/>
              </w:rPr>
            </w:r>
          </w:p>
        </w:tc>
        <w:tc>
          <w:tcPr>
            <w:tcW w:w="4675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Zawartotabeli"/>
              <w:spacing w:lineRule="auto" w:line="254"/>
              <w:jc w:val="right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bCs/>
                <w:sz w:val="20"/>
                <w:szCs w:val="20"/>
              </w:rPr>
            </w:r>
          </w:p>
        </w:tc>
        <w:tc>
          <w:tcPr>
            <w:tcW w:w="262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Zawartotabeli"/>
              <w:spacing w:lineRule="auto" w:line="254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>0.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Zawartotabeli"/>
              <w:spacing w:lineRule="auto" w:line="254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Fabrycznie nowe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Cs/>
                <w:sz w:val="20"/>
                <w:szCs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</w:r>
          </w:p>
        </w:tc>
      </w:tr>
      <w:tr>
        <w:trPr/>
        <w:tc>
          <w:tcPr>
            <w:tcW w:w="9494" w:type="dxa"/>
            <w:gridSpan w:val="4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Zawartotabeli"/>
              <w:spacing w:lineRule="auto" w:line="254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Podkładka/poduszka podpierająca – 2 szt.</w:t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Wymiary: 45x30x3/12 cm (+/-10%)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Wykonana z polimerów termoelastycznych                    z całkowicie otwartą strukturą komórek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Materiał wykonania lekki i specjalnie przystosowany do wymagań użytkowych szpitali, hospicjów i domów opieki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</w:r>
          </w:p>
        </w:tc>
      </w:tr>
      <w:tr>
        <w:trPr/>
        <w:tc>
          <w:tcPr>
            <w:tcW w:w="711" w:type="dxa"/>
            <w:tcBorders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  <w:t>Materiał termoczuły utrzymujący stałą temperaturę ciała, co wraz z zapewnieniem dopływu świeżego powietrza jest konieczne przy zapobieganiu powstawania i leczeniu ran odleżynowych</w:t>
            </w:r>
          </w:p>
        </w:tc>
        <w:tc>
          <w:tcPr>
            <w:tcW w:w="14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</w:r>
          </w:p>
        </w:tc>
      </w:tr>
      <w:tr>
        <w:trPr/>
        <w:tc>
          <w:tcPr>
            <w:tcW w:w="9494" w:type="dxa"/>
            <w:gridSpan w:val="4"/>
            <w:tcBorders>
              <w:left w:val="single" w:sz="2" w:space="0" w:color="000001"/>
              <w:right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Podkładka/podparcie pod kończyny – 14 szt.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Wymiary: 20x30x7/10 cm (+/-10%)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Wykonana z polimerów termoelastycznych             z całkowicie otwartą strukturą komórek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wykonania lekki i specjalnie przystosowany do wymagań użytkowych szpitali, hospicjów           i domów opieki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2" w:space="0" w:color="000001"/>
              <w:bottom w:val="single" w:sz="4" w:space="0" w:color="00000A"/>
              <w:right w:val="single" w:sz="2" w:space="0" w:color="000001"/>
              <w:insideH w:val="single" w:sz="4" w:space="0" w:color="00000A"/>
              <w:insideV w:val="single" w:sz="2" w:space="0" w:color="000001"/>
            </w:tcBorders>
            <w:shd w:fill="auto" w:val="clear"/>
            <w:tcMar>
              <w:top w:w="0" w:type="dxa"/>
              <w:left w:w="7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termoczuły utrzymujący stałą temperaturę ciała, co wraz z zapewnieniem dopływu świeżego powietrza jest konieczne przy zapobieganiu powstawania i leczeniu ran odleżynowych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94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Podkładka/podparcie pod kończyny – 14 szt.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Wymiary: 20x60x7/10 cm (+/-10%)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Wykonana z polimerów termoplastycznych              z całkowicie otwartą strukturą komórek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wykonania lekki i specjalnie przystosowany do wymagań użytkowych szpitali, hospicjów            i domów opieki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termoczuły utrzymujący stałą temperaturę ciała, co wraz z zapewnieniem dopływu świeżego powietrza jest konieczne przy zapobieganiu powstawania i leczeniu ran odleżynowych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94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Podkładka pod kolana/plecy – 8 szt.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Wymiary: 33x33x10 cm (+/-10%)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Wykonana z polimerów termoelastycznych z całkowicie otwartą strukturą komórek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wykonania lekki i specjalnie przystosowany do wymagań użytkowych szpitali, hospicjów i domów opieki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termoczuły utrzymujący stałą temperaturę ciała, co wraz z zapewnieniem dopływu świeżego powietrza jest konieczne przy zapobieganiu powstawania i leczeniu ran odleżynowych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94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Kółko żelowe pod głowę – 4 szt.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Rozmiar ɸ200x45mm( +/- 10mm)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nadający się do dezynfekcji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94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Kółko żelowe pod głowę – 2 szt.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Rozmiar ɸ140x35mm( +/- 10mm)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nadający się do dezynfekcji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9494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jc w:val="center"/>
              <w:rPr>
                <w:rFonts w:ascii="Tahoma" w:hAnsi="Tahoma" w:cs="Tahoma"/>
                <w:b/>
                <w:b/>
                <w:sz w:val="20"/>
                <w:szCs w:val="20"/>
              </w:rPr>
            </w:pPr>
            <w:r>
              <w:rPr>
                <w:rFonts w:cs="Tahoma" w:ascii="Tahoma" w:hAnsi="Tahoma"/>
                <w:b/>
                <w:sz w:val="20"/>
                <w:szCs w:val="20"/>
              </w:rPr>
              <w:t>Kółko żelowe pod piętę – 12 szt.</w:t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1.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Rozmiar ɸ90x20mm( +/- 10mm)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  <w:tr>
        <w:trPr/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suppressAutoHyphens w:val="true"/>
              <w:spacing w:lineRule="auto" w:line="254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cs="Tahoma" w:ascii="Tahoma" w:hAnsi="Tahoma"/>
                <w:sz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0" w:type="dxa"/>
            </w:tcMar>
          </w:tcPr>
          <w:p>
            <w:pPr>
              <w:pStyle w:val="Normal"/>
              <w:rPr>
                <w:rStyle w:val="Hps"/>
                <w:rFonts w:ascii="Tahoma" w:hAnsi="Tahoma" w:cs="Tahoma"/>
                <w:sz w:val="20"/>
              </w:rPr>
            </w:pPr>
            <w:r>
              <w:rPr>
                <w:rStyle w:val="Hps"/>
                <w:rFonts w:cs="Tahoma" w:ascii="Tahoma" w:hAnsi="Tahoma"/>
                <w:sz w:val="20"/>
              </w:rPr>
              <w:t>Materiał nadający się do dezynfekcji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cs="Tahoma" w:ascii="Tahoma" w:hAnsi="Tahoma"/>
                <w:color w:val="000000"/>
                <w:sz w:val="20"/>
              </w:rPr>
              <w:t>TAK</w:t>
            </w:r>
          </w:p>
        </w:tc>
        <w:tc>
          <w:tcPr>
            <w:tcW w:w="26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0" w:type="dxa"/>
              <w:left w:w="5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jc w:val="center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</w:tr>
    </w:tbl>
    <w:p>
      <w:pPr>
        <w:pStyle w:val="Standard"/>
        <w:rPr>
          <w:rFonts w:ascii="Tahoma" w:hAnsi="Tahoma" w:cs="Tahoma"/>
          <w:b/>
          <w:b/>
          <w:bCs/>
          <w:color w:val="FF0000"/>
          <w:sz w:val="20"/>
          <w:szCs w:val="20"/>
        </w:rPr>
      </w:pPr>
      <w:r>
        <w:rPr>
          <w:rFonts w:cs="Tahoma" w:ascii="Tahoma" w:hAnsi="Tahoma"/>
          <w:b/>
          <w:bCs/>
          <w:color w:val="FF0000"/>
          <w:sz w:val="20"/>
          <w:szCs w:val="20"/>
        </w:rPr>
      </w:r>
    </w:p>
    <w:tbl>
      <w:tblPr>
        <w:tblW w:w="9375" w:type="dxa"/>
        <w:jc w:val="left"/>
        <w:tblInd w:w="-176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50"/>
        <w:gridCol w:w="4679"/>
        <w:gridCol w:w="1417"/>
        <w:gridCol w:w="2428"/>
      </w:tblGrid>
      <w:tr>
        <w:trPr>
          <w:trHeight w:val="486" w:hRule="atLeast"/>
        </w:trPr>
        <w:tc>
          <w:tcPr>
            <w:tcW w:w="9374" w:type="dxa"/>
            <w:gridSpan w:val="4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54"/>
              <w:rPr>
                <w:rFonts w:ascii="Arial" w:hAnsi="Arial" w:cs="Arial"/>
                <w:b/>
                <w:b/>
                <w:color w:val="FF0000"/>
                <w:sz w:val="20"/>
                <w:lang w:eastAsia="en-US"/>
              </w:rPr>
            </w:pPr>
            <w:r>
              <w:rPr>
                <w:rFonts w:cs="Arial" w:ascii="Arial" w:hAnsi="Arial"/>
                <w:b/>
                <w:color w:val="FF0000"/>
                <w:sz w:val="20"/>
                <w:lang w:eastAsia="en-US"/>
              </w:rPr>
            </w:r>
          </w:p>
          <w:p>
            <w:pPr>
              <w:pStyle w:val="Normal"/>
              <w:spacing w:lineRule="auto" w:line="254"/>
              <w:jc w:val="center"/>
              <w:rPr>
                <w:rFonts w:ascii="Arial" w:hAnsi="Arial" w:cs="Arial"/>
                <w:b/>
                <w:b/>
                <w:sz w:val="20"/>
                <w:lang w:eastAsia="en-US"/>
              </w:rPr>
            </w:pPr>
            <w:r>
              <w:rPr>
                <w:rFonts w:cs="Arial" w:ascii="Arial" w:hAnsi="Arial"/>
                <w:b/>
                <w:sz w:val="20"/>
                <w:lang w:eastAsia="en-US"/>
              </w:rPr>
              <w:t>WARUNKI GWARANCJI I TERMIN DOSTAWY</w:t>
            </w:r>
          </w:p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b/>
                <w:b/>
                <w:color w:val="FF0000"/>
                <w:sz w:val="20"/>
                <w:lang w:eastAsia="en-US"/>
              </w:rPr>
            </w:pPr>
            <w:r>
              <w:rPr>
                <w:rFonts w:cs="Arial" w:ascii="Arial" w:hAnsi="Arial"/>
                <w:b/>
                <w:color w:val="FF0000"/>
                <w:sz w:val="20"/>
                <w:lang w:eastAsia="en-US"/>
              </w:rPr>
            </w:r>
          </w:p>
        </w:tc>
      </w:tr>
      <w:tr>
        <w:trPr>
          <w:trHeight w:val="691" w:hRule="atLeast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>Gwarancja min. 12 miesięcy</w:t>
            </w:r>
          </w:p>
          <w:p>
            <w:pPr>
              <w:pStyle w:val="Normal"/>
              <w:pBdr>
                <w:top w:val="single" w:sz="4" w:space="1" w:color="00000A"/>
                <w:left w:val="single" w:sz="4" w:space="4" w:color="00000A"/>
                <w:bottom w:val="single" w:sz="4" w:space="1" w:color="00000A"/>
                <w:right w:val="single" w:sz="4" w:space="4" w:color="00000A"/>
              </w:pBdr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>12 miesięcy - 0 pkt</w:t>
            </w:r>
          </w:p>
          <w:p>
            <w:pPr>
              <w:pStyle w:val="Normal"/>
              <w:pBdr>
                <w:top w:val="single" w:sz="4" w:space="1" w:color="00000A"/>
                <w:left w:val="single" w:sz="4" w:space="4" w:color="00000A"/>
                <w:bottom w:val="single" w:sz="4" w:space="1" w:color="00000A"/>
                <w:right w:val="single" w:sz="4" w:space="4" w:color="00000A"/>
              </w:pBdr>
              <w:snapToGrid w:val="false"/>
              <w:rPr/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24 miesiące – </w:t>
            </w:r>
            <w:r>
              <w:rPr>
                <w:rFonts w:cs="Arial" w:ascii="Arial" w:hAnsi="Arial"/>
                <w:sz w:val="20"/>
                <w:szCs w:val="20"/>
                <w:highlight w:val="yellow"/>
              </w:rPr>
              <w:t>2</w:t>
            </w:r>
            <w:r>
              <w:rPr>
                <w:rFonts w:cs="Arial" w:ascii="Arial" w:hAnsi="Arial"/>
                <w:sz w:val="20"/>
                <w:szCs w:val="20"/>
                <w:highlight w:val="yellow"/>
              </w:rPr>
              <w:t>0 pkt</w:t>
            </w:r>
          </w:p>
          <w:p>
            <w:pPr>
              <w:pStyle w:val="Normal"/>
              <w:snapToGrid w:val="false"/>
              <w:spacing w:lineRule="auto" w:line="254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/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cs="Arial" w:ascii="Arial" w:hAnsi="Arial"/>
                <w:sz w:val="20"/>
                <w:highlight w:val="yellow"/>
                <w:lang w:eastAsia="en-US"/>
              </w:rPr>
              <w:t>TAK(PODAĆ)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right="451" w:hanging="0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  <w:tr>
        <w:trPr>
          <w:trHeight w:val="691" w:hRule="atLeast"/>
        </w:trPr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Termin dostawy: </w:t>
            </w:r>
          </w:p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  <w:highlight w:val="yellow"/>
              </w:rPr>
              <w:t>4 tygodnie - 0 pkt</w:t>
            </w:r>
          </w:p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  <w:highlight w:val="yellow"/>
              </w:rPr>
              <w:t>3 tygodnie - 10 pkt</w:t>
            </w:r>
          </w:p>
          <w:p>
            <w:pPr>
              <w:pStyle w:val="Normal"/>
              <w:snapToGrid w:val="false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  <w:highlight w:val="yellow"/>
              </w:rPr>
              <w:t>2 tygodnie - 20 pkt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cs="Arial" w:ascii="Arial" w:hAnsi="Arial"/>
                <w:sz w:val="20"/>
                <w:highlight w:val="yellow"/>
                <w:lang w:eastAsia="en-US"/>
              </w:rPr>
              <w:t>TAK/PODAĆ</w:t>
            </w:r>
          </w:p>
        </w:tc>
        <w:tc>
          <w:tcPr>
            <w:tcW w:w="24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-5" w:type="dxa"/>
              <w:right w:w="0" w:type="dxa"/>
            </w:tcMar>
            <w:vAlign w:val="center"/>
          </w:tcPr>
          <w:p>
            <w:pPr>
              <w:pStyle w:val="Normal"/>
              <w:suppressAutoHyphens w:val="true"/>
              <w:spacing w:lineRule="auto" w:line="254"/>
              <w:ind w:right="451" w:hanging="0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cs="Arial" w:ascii="Arial" w:hAnsi="Arial"/>
                <w:sz w:val="20"/>
                <w:lang w:eastAsia="en-US"/>
              </w:rPr>
            </w:r>
          </w:p>
        </w:tc>
      </w:tr>
    </w:tbl>
    <w:p>
      <w:pPr>
        <w:pStyle w:val="Normal"/>
        <w:tabs>
          <w:tab w:val="left" w:pos="708" w:leader="none"/>
          <w:tab w:val="center" w:pos="4536" w:leader="none"/>
          <w:tab w:val="right" w:pos="9072" w:leader="none"/>
        </w:tabs>
        <w:rPr>
          <w:rFonts w:ascii="Arial" w:hAnsi="Arial" w:cs="Arial"/>
          <w:sz w:val="20"/>
          <w:lang w:val="x-none" w:eastAsia="x-none"/>
        </w:rPr>
      </w:pPr>
      <w:r>
        <w:rPr>
          <w:rFonts w:cs="Arial" w:ascii="Arial" w:hAnsi="Arial"/>
          <w:b/>
          <w:sz w:val="20"/>
          <w:lang w:val="x-none" w:eastAsia="x-none"/>
        </w:rPr>
        <w:t>Uwagi</w:t>
      </w:r>
      <w:r>
        <w:rPr>
          <w:rFonts w:cs="Arial" w:ascii="Arial" w:hAnsi="Arial"/>
          <w:sz w:val="20"/>
          <w:lang w:val="x-none" w:eastAsia="x-none"/>
        </w:rPr>
        <w:t xml:space="preserve"> :</w:t>
      </w:r>
    </w:p>
    <w:p>
      <w:pPr>
        <w:pStyle w:val="Normal"/>
        <w:tabs>
          <w:tab w:val="center" w:pos="4536" w:leader="none"/>
          <w:tab w:val="right" w:pos="9072" w:leader="none"/>
        </w:tabs>
        <w:jc w:val="both"/>
        <w:rPr>
          <w:rFonts w:ascii="Arial" w:hAnsi="Arial" w:cs="Arial"/>
          <w:sz w:val="20"/>
          <w:lang w:val="x-none" w:eastAsia="x-none"/>
        </w:rPr>
      </w:pPr>
      <w:r>
        <w:rPr>
          <w:rFonts w:cs="Arial" w:ascii="Arial" w:hAnsi="Arial"/>
          <w:sz w:val="20"/>
          <w:lang w:val="x-none" w:eastAsia="x-none"/>
        </w:rPr>
        <w:t>1.  Niespełnienie któregoś z podanych warunków granicznych (wymaganych) skutkować będzie odrzuceniem oferty.</w:t>
      </w:r>
    </w:p>
    <w:p>
      <w:pPr>
        <w:pStyle w:val="Normal"/>
        <w:tabs>
          <w:tab w:val="center" w:pos="4536" w:leader="none"/>
          <w:tab w:val="right" w:pos="9072" w:leader="none"/>
        </w:tabs>
        <w:jc w:val="both"/>
        <w:rPr>
          <w:rFonts w:ascii="Arial" w:hAnsi="Arial" w:cs="Arial"/>
          <w:sz w:val="20"/>
          <w:lang w:val="x-none" w:eastAsia="x-none"/>
        </w:rPr>
      </w:pPr>
      <w:r>
        <w:rPr>
          <w:rFonts w:cs="Arial" w:ascii="Arial" w:hAnsi="Arial"/>
          <w:sz w:val="20"/>
          <w:lang w:val="x-none" w:eastAsia="x-none"/>
        </w:rPr>
        <w:t>2.   Oferta nie spełniająca wymogów granicznych podlega odrzuceniu bez dalszego rozpatrywania.</w:t>
      </w:r>
    </w:p>
    <w:p>
      <w:pPr>
        <w:pStyle w:val="Normal"/>
        <w:tabs>
          <w:tab w:val="center" w:pos="4536" w:leader="none"/>
          <w:tab w:val="right" w:pos="9072" w:leader="none"/>
        </w:tabs>
        <w:jc w:val="both"/>
        <w:rPr>
          <w:rFonts w:ascii="Arial" w:hAnsi="Arial" w:cs="Arial"/>
          <w:sz w:val="20"/>
          <w:lang w:val="x-none" w:eastAsia="x-none"/>
        </w:rPr>
      </w:pPr>
      <w:r>
        <w:rPr>
          <w:rFonts w:cs="Arial" w:ascii="Arial" w:hAnsi="Arial"/>
          <w:sz w:val="20"/>
          <w:lang w:val="x-none" w:eastAsia="x-none"/>
        </w:rPr>
        <w:t xml:space="preserve">3. Zamawiający zastrzega sobie prawo sprawdzenia podanych przez oferenta parametrów </w:t>
      </w:r>
      <w:r>
        <w:rPr>
          <w:rFonts w:cs="Arial" w:ascii="Arial" w:hAnsi="Arial"/>
          <w:sz w:val="20"/>
          <w:lang w:eastAsia="x-none"/>
        </w:rPr>
        <w:t xml:space="preserve">                                  </w:t>
      </w:r>
      <w:r>
        <w:rPr>
          <w:rFonts w:cs="Arial" w:ascii="Arial" w:hAnsi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>
      <w:pPr>
        <w:pStyle w:val="Normal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b/>
          <w:sz w:val="20"/>
        </w:rPr>
        <w:t>Oświadczamy</w:t>
      </w:r>
      <w:r>
        <w:rPr>
          <w:rFonts w:cs="Arial" w:ascii="Arial" w:hAnsi="Arial"/>
          <w:sz w:val="20"/>
        </w:rPr>
        <w:t>, iż wyspecyfikowane powyżej urządzenia są kompletne i będą po montażu                                         i zainstalowaniu gotowe do podjęcia prawidłowej pracy bez żadnych dodatkowych zakupów.</w:t>
      </w:r>
    </w:p>
    <w:p>
      <w:pPr>
        <w:pStyle w:val="Normal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</w:r>
    </w:p>
    <w:p>
      <w:pPr>
        <w:pStyle w:val="Normal"/>
        <w:ind w:left="3544" w:hanging="3544"/>
        <w:rPr/>
      </w:pPr>
      <w:r>
        <w:rPr>
          <w:rFonts w:cs="Arial" w:ascii="Arial" w:hAnsi="Arial"/>
          <w:sz w:val="20"/>
        </w:rPr>
        <w:t>………………</w:t>
      </w:r>
      <w:r>
        <w:rPr>
          <w:rFonts w:cs="Arial" w:ascii="Arial" w:hAnsi="Arial"/>
          <w:sz w:val="20"/>
        </w:rPr>
        <w:t xml:space="preserve">.data………………….                                          </w:t>
        <w:tab/>
        <w:tab/>
        <w:tab/>
        <w:tab/>
        <w:tab/>
        <w:tab/>
        <w:tab/>
        <w:tab/>
        <w:tab/>
        <w:t xml:space="preserve">          ……………………………….</w:t>
      </w: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                                      </w:t>
      </w:r>
      <w:bookmarkStart w:id="0" w:name="_GoBack"/>
      <w:bookmarkEnd w:id="0"/>
      <w:r>
        <w:rPr>
          <w:rFonts w:cs="Arial" w:ascii="Arial" w:hAnsi="Arial"/>
          <w:sz w:val="20"/>
          <w:szCs w:val="20"/>
        </w:rPr>
        <w:t xml:space="preserve">Podpis  osoby/osób upoważnionej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hanging="0"/>
      </w:pPr>
    </w:lvl>
    <w:lvl w:ilvl="1">
      <w:start w:val="1"/>
      <w:numFmt w:val="decimal"/>
      <w:lvlText w:val="Sekcja %1.%2"/>
      <w:lvlJc w:val="left"/>
      <w:pPr>
        <w:tabs>
          <w:tab w:val="num" w:pos="1080"/>
        </w:tabs>
        <w:ind w:left="0" w:hanging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10636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ar-SA"/>
    </w:rPr>
  </w:style>
  <w:style w:type="paragraph" w:styleId="Nagwek1">
    <w:name w:val="Nagłówek 1"/>
    <w:basedOn w:val="Normal"/>
    <w:link w:val="Nagwek1Znak"/>
    <w:qFormat/>
    <w:rsid w:val="00a10636"/>
    <w:pPr>
      <w:keepNext/>
      <w:numPr>
        <w:ilvl w:val="0"/>
        <w:numId w:val="1"/>
      </w:numPr>
      <w:jc w:val="center"/>
      <w:outlineLvl w:val="0"/>
      <w:outlineLvl w:val="0"/>
    </w:pPr>
    <w:rPr>
      <w:b/>
      <w:bCs/>
      <w:u w:val="single"/>
    </w:rPr>
  </w:style>
  <w:style w:type="paragraph" w:styleId="Nagwek2">
    <w:name w:val="Nagłówek 2"/>
    <w:basedOn w:val="Normal"/>
    <w:link w:val="Nagwek2Znak"/>
    <w:qFormat/>
    <w:rsid w:val="00a10636"/>
    <w:pPr>
      <w:keepNext/>
      <w:numPr>
        <w:ilvl w:val="1"/>
        <w:numId w:val="1"/>
      </w:numPr>
      <w:outlineLvl w:val="1"/>
      <w:outlineLvl w:val="1"/>
    </w:pPr>
    <w:rPr>
      <w:b/>
      <w:szCs w:val="20"/>
      <w:u w:val="single"/>
    </w:rPr>
  </w:style>
  <w:style w:type="paragraph" w:styleId="Nagwek3">
    <w:name w:val="Nagłówek 3"/>
    <w:basedOn w:val="Normal"/>
    <w:link w:val="Nagwek3Znak"/>
    <w:qFormat/>
    <w:rsid w:val="00a10636"/>
    <w:pPr>
      <w:keepNext/>
      <w:numPr>
        <w:ilvl w:val="2"/>
        <w:numId w:val="1"/>
      </w:numPr>
      <w:outlineLvl w:val="2"/>
      <w:outlineLvl w:val="2"/>
    </w:pPr>
    <w:rPr>
      <w:rFonts w:ascii="Tahoma" w:hAnsi="Tahoma"/>
      <w:b/>
      <w:sz w:val="18"/>
      <w:szCs w:val="20"/>
    </w:rPr>
  </w:style>
  <w:style w:type="paragraph" w:styleId="Nagwek4">
    <w:name w:val="Nagłówek 4"/>
    <w:basedOn w:val="Normal"/>
    <w:link w:val="Nagwek4Znak"/>
    <w:qFormat/>
    <w:rsid w:val="00a10636"/>
    <w:pPr>
      <w:keepNext/>
      <w:numPr>
        <w:ilvl w:val="3"/>
        <w:numId w:val="1"/>
      </w:numPr>
      <w:spacing w:before="240" w:after="60"/>
      <w:outlineLvl w:val="3"/>
      <w:outlineLvl w:val="3"/>
    </w:pPr>
    <w:rPr>
      <w:b/>
      <w:bCs/>
      <w:sz w:val="28"/>
      <w:szCs w:val="28"/>
    </w:rPr>
  </w:style>
  <w:style w:type="paragraph" w:styleId="Nagwek5">
    <w:name w:val="Nagłówek 5"/>
    <w:basedOn w:val="Normal"/>
    <w:link w:val="Nagwek5Znak"/>
    <w:qFormat/>
    <w:rsid w:val="00a10636"/>
    <w:pPr>
      <w:numPr>
        <w:ilvl w:val="4"/>
        <w:numId w:val="1"/>
      </w:numPr>
      <w:spacing w:before="240" w:after="60"/>
      <w:outlineLvl w:val="4"/>
      <w:outlineLvl w:val="4"/>
    </w:pPr>
    <w:rPr>
      <w:b/>
      <w:bCs/>
      <w:i/>
      <w:iCs/>
      <w:sz w:val="26"/>
      <w:szCs w:val="26"/>
    </w:rPr>
  </w:style>
  <w:style w:type="paragraph" w:styleId="Nagwek6">
    <w:name w:val="Nagłówek 6"/>
    <w:basedOn w:val="Normal"/>
    <w:link w:val="Nagwek6Znak"/>
    <w:qFormat/>
    <w:rsid w:val="00a10636"/>
    <w:pPr>
      <w:numPr>
        <w:ilvl w:val="5"/>
        <w:numId w:val="1"/>
      </w:numPr>
      <w:spacing w:before="240" w:after="60"/>
      <w:outlineLvl w:val="5"/>
      <w:outlineLvl w:val="5"/>
    </w:pPr>
    <w:rPr>
      <w:b/>
      <w:bCs/>
      <w:sz w:val="22"/>
      <w:szCs w:val="22"/>
    </w:rPr>
  </w:style>
  <w:style w:type="paragraph" w:styleId="Nagwek7">
    <w:name w:val="Nagłówek 7"/>
    <w:basedOn w:val="Normal"/>
    <w:link w:val="Nagwek7Znak"/>
    <w:qFormat/>
    <w:rsid w:val="00a10636"/>
    <w:pPr>
      <w:numPr>
        <w:ilvl w:val="6"/>
        <w:numId w:val="1"/>
      </w:numPr>
      <w:spacing w:before="240" w:after="60"/>
      <w:outlineLvl w:val="6"/>
      <w:outlineLvl w:val="6"/>
    </w:pPr>
    <w:rPr/>
  </w:style>
  <w:style w:type="paragraph" w:styleId="Nagwek8">
    <w:name w:val="Nagłówek 8"/>
    <w:basedOn w:val="Normal"/>
    <w:link w:val="Nagwek8Znak"/>
    <w:qFormat/>
    <w:rsid w:val="00a10636"/>
    <w:pPr>
      <w:numPr>
        <w:ilvl w:val="7"/>
        <w:numId w:val="1"/>
      </w:numPr>
      <w:spacing w:before="240" w:after="60"/>
      <w:outlineLvl w:val="7"/>
      <w:outlineLvl w:val="7"/>
    </w:pPr>
    <w:rPr>
      <w:i/>
      <w:iCs/>
    </w:rPr>
  </w:style>
  <w:style w:type="paragraph" w:styleId="Nagwek9">
    <w:name w:val="Nagłówek 9"/>
    <w:basedOn w:val="Normal"/>
    <w:link w:val="Nagwek9Znak"/>
    <w:qFormat/>
    <w:rsid w:val="00a10636"/>
    <w:pPr>
      <w:numPr>
        <w:ilvl w:val="8"/>
        <w:numId w:val="1"/>
      </w:numPr>
      <w:spacing w:before="240" w:after="60"/>
      <w:outlineLvl w:val="8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a10636"/>
    <w:rPr>
      <w:rFonts w:ascii="Times New Roman" w:hAnsi="Times New Roman" w:eastAsia="Times New Roman" w:cs="Times New Roman"/>
      <w:b/>
      <w:bCs/>
      <w:sz w:val="24"/>
      <w:szCs w:val="24"/>
      <w:u w:val="single"/>
      <w:lang w:eastAsia="pl-PL"/>
    </w:rPr>
  </w:style>
  <w:style w:type="character" w:styleId="Nagwek2Znak" w:customStyle="1">
    <w:name w:val="Nagłówek 2 Znak"/>
    <w:basedOn w:val="DefaultParagraphFont"/>
    <w:link w:val="Nagwek2"/>
    <w:qFormat/>
    <w:rsid w:val="00a10636"/>
    <w:rPr>
      <w:rFonts w:ascii="Times New Roman" w:hAnsi="Times New Roman" w:eastAsia="Times New Roman" w:cs="Times New Roman"/>
      <w:b/>
      <w:sz w:val="24"/>
      <w:szCs w:val="20"/>
      <w:u w:val="single"/>
      <w:lang w:eastAsia="pl-PL"/>
    </w:rPr>
  </w:style>
  <w:style w:type="character" w:styleId="Nagwek3Znak" w:customStyle="1">
    <w:name w:val="Nagłówek 3 Znak"/>
    <w:basedOn w:val="DefaultParagraphFont"/>
    <w:link w:val="Nagwek3"/>
    <w:qFormat/>
    <w:rsid w:val="00a10636"/>
    <w:rPr>
      <w:rFonts w:ascii="Tahoma" w:hAnsi="Tahoma" w:eastAsia="Times New Roman" w:cs="Times New Roman"/>
      <w:b/>
      <w:sz w:val="18"/>
      <w:szCs w:val="20"/>
      <w:lang w:eastAsia="pl-PL"/>
    </w:rPr>
  </w:style>
  <w:style w:type="character" w:styleId="Nagwek4Znak" w:customStyle="1">
    <w:name w:val="Nagłówek 4 Znak"/>
    <w:basedOn w:val="DefaultParagraphFont"/>
    <w:link w:val="Nagwek4"/>
    <w:qFormat/>
    <w:rsid w:val="00a10636"/>
    <w:rPr>
      <w:rFonts w:ascii="Times New Roman" w:hAnsi="Times New Roman" w:eastAsia="Times New Roman" w:cs="Times New Roman"/>
      <w:b/>
      <w:bCs/>
      <w:sz w:val="28"/>
      <w:szCs w:val="28"/>
      <w:lang w:eastAsia="pl-PL"/>
    </w:rPr>
  </w:style>
  <w:style w:type="character" w:styleId="Nagwek5Znak" w:customStyle="1">
    <w:name w:val="Nagłówek 5 Znak"/>
    <w:basedOn w:val="DefaultParagraphFont"/>
    <w:link w:val="Nagwek5"/>
    <w:qFormat/>
    <w:rsid w:val="00a10636"/>
    <w:rPr>
      <w:rFonts w:ascii="Times New Roman" w:hAnsi="Times New Roman" w:eastAsia="Times New Roman" w:cs="Times New Roman"/>
      <w:b/>
      <w:bCs/>
      <w:i/>
      <w:iCs/>
      <w:sz w:val="26"/>
      <w:szCs w:val="26"/>
      <w:lang w:eastAsia="pl-PL"/>
    </w:rPr>
  </w:style>
  <w:style w:type="character" w:styleId="Nagwek6Znak" w:customStyle="1">
    <w:name w:val="Nagłówek 6 Znak"/>
    <w:basedOn w:val="DefaultParagraphFont"/>
    <w:link w:val="Nagwek6"/>
    <w:qFormat/>
    <w:rsid w:val="00a10636"/>
    <w:rPr>
      <w:rFonts w:ascii="Times New Roman" w:hAnsi="Times New Roman" w:eastAsia="Times New Roman" w:cs="Times New Roman"/>
      <w:b/>
      <w:bCs/>
      <w:lang w:eastAsia="pl-PL"/>
    </w:rPr>
  </w:style>
  <w:style w:type="character" w:styleId="Nagwek7Znak" w:customStyle="1">
    <w:name w:val="Nagłówek 7 Znak"/>
    <w:basedOn w:val="DefaultParagraphFont"/>
    <w:link w:val="Nagwek7"/>
    <w:qFormat/>
    <w:rsid w:val="00a10636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8Znak" w:customStyle="1">
    <w:name w:val="Nagłówek 8 Znak"/>
    <w:basedOn w:val="DefaultParagraphFont"/>
    <w:link w:val="Nagwek8"/>
    <w:qFormat/>
    <w:rsid w:val="00a10636"/>
    <w:rPr>
      <w:rFonts w:ascii="Times New Roman" w:hAnsi="Times New Roman" w:eastAsia="Times New Roman" w:cs="Times New Roman"/>
      <w:i/>
      <w:iCs/>
      <w:sz w:val="24"/>
      <w:szCs w:val="24"/>
      <w:lang w:eastAsia="pl-PL"/>
    </w:rPr>
  </w:style>
  <w:style w:type="character" w:styleId="Nagwek9Znak" w:customStyle="1">
    <w:name w:val="Nagłówek 9 Znak"/>
    <w:basedOn w:val="DefaultParagraphFont"/>
    <w:link w:val="Nagwek9"/>
    <w:qFormat/>
    <w:rsid w:val="00a10636"/>
    <w:rPr>
      <w:rFonts w:ascii="Arial" w:hAnsi="Arial" w:eastAsia="Times New Roman" w:cs="Arial"/>
      <w:lang w:eastAsia="pl-PL"/>
    </w:rPr>
  </w:style>
  <w:style w:type="character" w:styleId="Hps" w:customStyle="1">
    <w:name w:val="hps"/>
    <w:qFormat/>
    <w:rsid w:val="00a10636"/>
    <w:rPr>
      <w:rFonts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FreeSans"/>
    </w:rPr>
  </w:style>
  <w:style w:type="paragraph" w:styleId="Podpis">
    <w:name w:val="Podpis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FreeSans"/>
    </w:rPr>
  </w:style>
  <w:style w:type="paragraph" w:styleId="Standard" w:customStyle="1">
    <w:name w:val="Standard"/>
    <w:qFormat/>
    <w:rsid w:val="00a1063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" w:cs="Mangal"/>
      <w:color w:val="auto"/>
      <w:sz w:val="24"/>
      <w:szCs w:val="24"/>
      <w:lang w:eastAsia="zh-CN" w:bidi="hi-IN" w:val="pl-PL"/>
    </w:rPr>
  </w:style>
  <w:style w:type="paragraph" w:styleId="Zawartotabeli" w:customStyle="1">
    <w:name w:val="Zawartość tabeli"/>
    <w:basedOn w:val="Standard"/>
    <w:qFormat/>
    <w:rsid w:val="00a10636"/>
    <w:pPr>
      <w:suppressLineNumbers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LibreOffice/5.0.3.2$Linux_X86_64 LibreOffice_project/00m0$Build-2</Application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2017-11-15T10:08:00Z</dcterms:created>
  <dc:creator>Gabriela GW. Kamińska-Wolak</dc:creator>
  <dc:language>pl-PL</dc:language>
  <cp:lastModifiedBy>Gabrysia </cp:lastModifiedBy>
  <dcterms:modified xsi:type="dcterms:W3CDTF">2017-11-26T19:43:19Z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