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>
        <w:rPr>
          <w:rFonts w:cs="Arial" w:ascii="Arial" w:hAnsi="Arial"/>
          <w:sz w:val="20"/>
          <w:u w:val="none"/>
        </w:rPr>
        <w:t>Załącznik nr 2 – 12</w:t>
      </w:r>
    </w:p>
    <w:p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false"/>
          <w:b w:val="false"/>
          <w:sz w:val="20"/>
          <w:u w:val="none"/>
        </w:rPr>
      </w:pPr>
      <w:r>
        <w:rPr>
          <w:rFonts w:cs="Arial" w:ascii="Arial" w:hAnsi="Arial"/>
          <w:sz w:val="20"/>
          <w:u w:val="none"/>
        </w:rPr>
        <w:t xml:space="preserve">                                                                                                      </w:t>
      </w:r>
      <w:r>
        <w:rPr>
          <w:rFonts w:cs="Arial" w:ascii="Arial" w:hAnsi="Arial"/>
          <w:sz w:val="20"/>
          <w:u w:val="none"/>
        </w:rPr>
        <w:t>ZOZ/DZP/PN/21/17</w:t>
      </w:r>
    </w:p>
    <w:p>
      <w:pPr>
        <w:pStyle w:val="Standard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                 </w:t>
      </w:r>
    </w:p>
    <w:p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>
        <w:rPr>
          <w:rFonts w:cs="Arial" w:ascii="Arial" w:hAnsi="Arial"/>
          <w:sz w:val="20"/>
          <w:u w:val="none"/>
        </w:rPr>
        <w:t>ZESTAWIENIE WYMAGANYCH PARAMETRÓW TECHNICZNO – UŻYTKOWYCH</w:t>
      </w:r>
    </w:p>
    <w:p>
      <w:pPr>
        <w:pStyle w:val="Normal"/>
        <w:jc w:val="center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  <w:t>OPIS PRZEDMIOTU ZAMÓWIENIA</w:t>
      </w:r>
    </w:p>
    <w:p>
      <w:pPr>
        <w:pStyle w:val="Standard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Standard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Zadanie nr 12</w:t>
      </w:r>
    </w:p>
    <w:p>
      <w:pPr>
        <w:pStyle w:val="Standard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  <w:t>Inkubator z regulowaną atmosferą gazową ( CO</w:t>
      </w:r>
      <w:r>
        <w:rPr>
          <w:rFonts w:cs="Tahoma" w:ascii="Tahoma" w:hAnsi="Tahoma"/>
          <w:b/>
          <w:vertAlign w:val="subscript"/>
        </w:rPr>
        <w:t>2</w:t>
      </w:r>
      <w:r>
        <w:rPr>
          <w:rFonts w:cs="Tahoma" w:ascii="Tahoma" w:hAnsi="Tahoma"/>
          <w:b/>
        </w:rPr>
        <w:t>) 1 szt.</w:t>
      </w:r>
    </w:p>
    <w:tbl>
      <w:tblPr>
        <w:tblW w:w="9495" w:type="dxa"/>
        <w:jc w:val="center"/>
        <w:tblInd w:w="0" w:type="dxa"/>
        <w:tblBorders>
          <w:top w:val="single" w:sz="2" w:space="0" w:color="000001"/>
          <w:left w:val="single" w:sz="2" w:space="0" w:color="000001"/>
          <w:bottom w:val="single" w:sz="4" w:space="0" w:color="00000A"/>
          <w:right w:val="single" w:sz="2" w:space="0" w:color="000001"/>
          <w:insideH w:val="single" w:sz="4" w:space="0" w:color="00000A"/>
          <w:insideV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711"/>
        <w:gridCol w:w="4675"/>
        <w:gridCol w:w="1486"/>
        <w:gridCol w:w="2622"/>
      </w:tblGrid>
      <w:tr>
        <w:trPr/>
        <w:tc>
          <w:tcPr>
            <w:tcW w:w="9494" w:type="dxa"/>
            <w:gridSpan w:val="4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Producent/kraj:</w:t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  <w:lang w:val="en-US"/>
              </w:rPr>
              <w:t>Model:</w:t>
            </w:r>
          </w:p>
        </w:tc>
      </w:tr>
      <w:tr>
        <w:trPr/>
        <w:tc>
          <w:tcPr>
            <w:tcW w:w="71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cs="Tahoma" w:ascii="Tahoma" w:hAnsi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>Wartość wymagana</w:t>
            </w:r>
          </w:p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</w:r>
          </w:p>
        </w:tc>
        <w:tc>
          <w:tcPr>
            <w:tcW w:w="467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</w:r>
          </w:p>
        </w:tc>
        <w:tc>
          <w:tcPr>
            <w:tcW w:w="262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</w:tr>
      <w:tr>
        <w:trPr>
          <w:trHeight w:val="328" w:hRule="atLeast"/>
        </w:trPr>
        <w:tc>
          <w:tcPr>
            <w:tcW w:w="711" w:type="dxa"/>
            <w:vMerge w:val="restart"/>
            <w:tcBorders>
              <w:left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 xml:space="preserve">Wymiary zewnętrzne                                       </w:t>
            </w:r>
          </w:p>
        </w:tc>
        <w:tc>
          <w:tcPr>
            <w:tcW w:w="1486" w:type="dxa"/>
            <w:vMerge w:val="restart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TAK/ PODAĆ</w:t>
            </w:r>
          </w:p>
        </w:tc>
        <w:tc>
          <w:tcPr>
            <w:tcW w:w="2622" w:type="dxa"/>
            <w:vMerge w:val="restart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>
          <w:trHeight w:val="275" w:hRule="atLeast"/>
        </w:trPr>
        <w:tc>
          <w:tcPr>
            <w:tcW w:w="711" w:type="dxa"/>
            <w:vMerge w:val="continue"/>
            <w:tcBorders>
              <w:left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 xml:space="preserve">wysokość: max 500 mm                              </w:t>
            </w:r>
          </w:p>
        </w:tc>
        <w:tc>
          <w:tcPr>
            <w:tcW w:w="1486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  <w:tc>
          <w:tcPr>
            <w:tcW w:w="2622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>
          <w:trHeight w:val="314" w:hRule="atLeast"/>
        </w:trPr>
        <w:tc>
          <w:tcPr>
            <w:tcW w:w="711" w:type="dxa"/>
            <w:vMerge w:val="continue"/>
            <w:tcBorders>
              <w:left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 xml:space="preserve">szerokość: max 500 mm                                   </w:t>
            </w:r>
          </w:p>
        </w:tc>
        <w:tc>
          <w:tcPr>
            <w:tcW w:w="1486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  <w:tc>
          <w:tcPr>
            <w:tcW w:w="2622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>
          <w:trHeight w:val="314" w:hRule="atLeast"/>
        </w:trPr>
        <w:tc>
          <w:tcPr>
            <w:tcW w:w="711" w:type="dxa"/>
            <w:vMerge w:val="continue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 xml:space="preserve">głębokość: max 600 mm                   </w:t>
            </w:r>
          </w:p>
        </w:tc>
        <w:tc>
          <w:tcPr>
            <w:tcW w:w="1486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  <w:tc>
          <w:tcPr>
            <w:tcW w:w="2622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Waga urządzenia: do 30kg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TAK/ PODAĆ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Drzwi podwójne:</w:t>
            </w:r>
          </w:p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zewnętrzne metalowe</w:t>
            </w:r>
          </w:p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wewnętrzne: szklane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Półki:</w:t>
            </w:r>
          </w:p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 xml:space="preserve">2 półki , 3 półki lub 4 półki 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TAK/ PODAĆ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Filtr HEPA w linii zasilania CO2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pBdr>
                <w:top w:val="single" w:sz="4" w:space="1" w:color="00000A"/>
                <w:left w:val="single" w:sz="4" w:space="4" w:color="00000A"/>
                <w:bottom w:val="single" w:sz="4" w:space="1" w:color="00000A"/>
                <w:right w:val="single" w:sz="4" w:space="4" w:color="00000A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Reduktor CO2 dwustopniowy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regulacji CO2:</w:t>
            </w:r>
          </w:p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0 do 20%</w:t>
            </w:r>
          </w:p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Czułość i precyzja układu &lt;=0,1%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TAK/ PODAĆ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Czujnik pomiaru CO2 wysokostabilny, przewodnościowy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pBdr>
                <w:top w:val="single" w:sz="4" w:space="1" w:color="00000A"/>
                <w:left w:val="single" w:sz="4" w:space="4" w:color="00000A"/>
                <w:bottom w:val="single" w:sz="4" w:space="1" w:color="00000A"/>
                <w:right w:val="single" w:sz="4" w:space="4" w:color="00000A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regulacji temperatury od +5oC do 60oC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>
              <w:rPr>
                <w:rFonts w:cs="Tahoma" w:ascii="Tahoma" w:hAnsi="Tahoma"/>
                <w:sz w:val="20"/>
                <w:szCs w:val="20"/>
              </w:rPr>
              <w:t>TAK/PODAĆ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Alarm programowany przez użytkownika z możliwością blokowania ustawień inkubatora przed niepowołanymi zmianami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Pojemnik na wodę wyjmowany, wykonany ze stali nierdzewnej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cs="Tahoma" w:ascii="Tahoma" w:hAnsi="Tahoma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Wyświetlacz jasny z intuicyjnym ustawianiem temperatury i stężenia CO2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cs="Tahoma" w:ascii="Tahoma" w:hAnsi="Tahoma"/>
                <w:color w:val="000000"/>
                <w:sz w:val="20"/>
                <w:szCs w:val="20"/>
              </w:rPr>
            </w:r>
          </w:p>
        </w:tc>
      </w:tr>
    </w:tbl>
    <w:p>
      <w:pPr>
        <w:pStyle w:val="Standard"/>
        <w:rPr>
          <w:rFonts w:ascii="Tahoma" w:hAnsi="Tahoma" w:cs="Tahoma"/>
          <w:b/>
          <w:b/>
          <w:bCs/>
          <w:color w:val="FF0000"/>
          <w:sz w:val="20"/>
          <w:szCs w:val="20"/>
        </w:rPr>
      </w:pPr>
      <w:r>
        <w:rPr>
          <w:rFonts w:cs="Tahoma" w:ascii="Tahoma" w:hAnsi="Tahoma"/>
          <w:b/>
          <w:bCs/>
          <w:color w:val="FF0000"/>
          <w:sz w:val="20"/>
          <w:szCs w:val="20"/>
        </w:rPr>
      </w:r>
    </w:p>
    <w:p>
      <w:pPr>
        <w:pStyle w:val="Standard"/>
        <w:rPr>
          <w:rFonts w:ascii="Tahoma" w:hAnsi="Tahoma" w:cs="Tahoma"/>
          <w:b/>
          <w:b/>
          <w:bCs/>
          <w:color w:val="FF0000"/>
          <w:sz w:val="20"/>
          <w:szCs w:val="20"/>
        </w:rPr>
      </w:pPr>
      <w:r>
        <w:rPr>
          <w:rFonts w:cs="Tahoma" w:ascii="Tahoma" w:hAnsi="Tahoma"/>
          <w:b/>
          <w:bCs/>
          <w:color w:val="FF0000"/>
          <w:sz w:val="20"/>
          <w:szCs w:val="20"/>
        </w:rPr>
      </w:r>
    </w:p>
    <w:tbl>
      <w:tblPr>
        <w:tblW w:w="9517" w:type="dxa"/>
        <w:jc w:val="left"/>
        <w:tblInd w:w="-176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49"/>
        <w:gridCol w:w="4680"/>
        <w:gridCol w:w="1418"/>
        <w:gridCol w:w="2569"/>
      </w:tblGrid>
      <w:tr>
        <w:trPr>
          <w:trHeight w:val="284" w:hRule="atLeast"/>
        </w:trPr>
        <w:tc>
          <w:tcPr>
            <w:tcW w:w="9516" w:type="dxa"/>
            <w:gridSpan w:val="4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54"/>
              <w:rPr>
                <w:rFonts w:ascii="Arial" w:hAnsi="Arial" w:cs="Arial"/>
                <w:b/>
                <w:b/>
                <w:color w:val="FF0000"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color w:val="FF0000"/>
                <w:sz w:val="20"/>
                <w:lang w:eastAsia="en-US"/>
              </w:rPr>
            </w:r>
          </w:p>
          <w:p>
            <w:pPr>
              <w:pStyle w:val="Normal"/>
              <w:spacing w:lineRule="auto" w:line="254"/>
              <w:jc w:val="center"/>
              <w:rPr>
                <w:rFonts w:ascii="Arial" w:hAnsi="Arial" w:cs="Arial"/>
                <w:b/>
                <w:b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sz w:val="20"/>
                <w:lang w:eastAsia="en-US"/>
              </w:rPr>
              <w:t>WARUNKI GWARANCJI I TERMIN DOSTAWY</w:t>
            </w:r>
          </w:p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b/>
                <w:b/>
                <w:color w:val="FF0000"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color w:val="FF0000"/>
                <w:sz w:val="20"/>
                <w:lang w:eastAsia="en-US"/>
              </w:rPr>
            </w:r>
          </w:p>
        </w:tc>
      </w:tr>
      <w:tr>
        <w:trPr>
          <w:trHeight w:val="691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1.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Gwarancja min. 12 m-cy (bezpłatne przeglądy w okresie gwarancji, min. 1x/rok lub częściej, zgodnie z zaleceniami producenta)</w:t>
            </w:r>
          </w:p>
          <w:p>
            <w:pPr>
              <w:pStyle w:val="NoSpacing"/>
              <w:spacing w:lineRule="auto" w:line="254"/>
              <w:rPr>
                <w:rFonts w:ascii="Arial" w:hAnsi="Arial" w:cs="Arial"/>
                <w:sz w:val="20"/>
                <w:u w:val="single"/>
                <w:lang w:eastAsia="en-US"/>
              </w:rPr>
            </w:pPr>
            <w:r>
              <w:rPr>
                <w:rFonts w:cs="Arial" w:ascii="Arial" w:hAnsi="Arial"/>
                <w:sz w:val="20"/>
                <w:u w:val="single"/>
                <w:lang w:eastAsia="en-US"/>
              </w:rPr>
              <w:t>Zasady oceny punktowej:</w:t>
            </w:r>
          </w:p>
          <w:p>
            <w:pPr>
              <w:pStyle w:val="NoSpacing"/>
              <w:spacing w:lineRule="auto" w:line="254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  <w:lang w:eastAsia="en-US"/>
              </w:rPr>
              <w:t>Gwarancja 12 m-cy – 0 pkt</w:t>
            </w:r>
          </w:p>
          <w:p>
            <w:pPr>
              <w:pStyle w:val="NoSpacing"/>
              <w:spacing w:lineRule="auto" w:line="254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  <w:lang w:eastAsia="en-US"/>
              </w:rPr>
              <w:t>Gwarancja 24 m-ce – 15 pkt.</w:t>
            </w:r>
          </w:p>
          <w:p>
            <w:pPr>
              <w:pStyle w:val="NoSpacing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  <w:lang w:eastAsia="en-US"/>
              </w:rPr>
              <w:t>Gwarancja 36 m-cy i więcej 30 pkt.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TAK(PODAĆ)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right="451" w:hanging="0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691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2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Termin dostawy: </w:t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4 tygodnie - 0 pkt</w:t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 </w:t>
            </w:r>
            <w:bookmarkStart w:id="0" w:name="_GoBack"/>
            <w:bookmarkEnd w:id="0"/>
            <w:r>
              <w:rPr>
                <w:rFonts w:cs="Arial" w:ascii="Arial" w:hAnsi="Arial"/>
                <w:sz w:val="20"/>
                <w:szCs w:val="20"/>
                <w:highlight w:val="yellow"/>
              </w:rPr>
              <w:t>3 tygodnie - 5 pkt</w:t>
            </w:r>
          </w:p>
          <w:p>
            <w:pPr>
              <w:pStyle w:val="Normal"/>
              <w:snapToGrid w:val="fals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</w:rPr>
              <w:t xml:space="preserve"> </w:t>
            </w:r>
            <w:r>
              <w:rPr>
                <w:rFonts w:cs="Arial" w:ascii="Arial" w:hAnsi="Arial"/>
                <w:sz w:val="20"/>
                <w:highlight w:val="yellow"/>
              </w:rPr>
              <w:t>2 tygodnie - 10 pkt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TAK(PODAĆ)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right="451" w:hanging="0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3.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Czas reakcji: przyjęcie zgłoszenie-podjęcie naprawy</w:t>
            </w:r>
          </w:p>
          <w:p>
            <w:pPr>
              <w:pStyle w:val="Normal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- w okresie gwarancji – 24 godziny</w:t>
            </w:r>
          </w:p>
          <w:p>
            <w:pPr>
              <w:pStyle w:val="Normal"/>
              <w:suppressAutoHyphens w:val="tru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- po okresie gwarancji – 48 godzin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right="451" w:hanging="0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1074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4.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spacing w:lineRule="auto" w:line="254"/>
              <w:ind w:left="69" w:hanging="69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Maksymalny czas niezbędny na usunięcie awarii od czasu  lokalizacji uszkodzenia</w:t>
            </w:r>
          </w:p>
          <w:p>
            <w:pPr>
              <w:pStyle w:val="Normal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- w okresie gwarancji - 3 dni</w:t>
            </w:r>
          </w:p>
          <w:p>
            <w:pPr>
              <w:pStyle w:val="Normal"/>
              <w:suppressAutoHyphens w:val="tru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- po okresie gwarancji – 5 dni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  <w:p>
            <w:pPr>
              <w:pStyle w:val="Normal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5.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69" w:hanging="69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6.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69" w:hanging="69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7.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54"/>
              <w:ind w:left="69" w:hanging="69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 xml:space="preserve"> </w:t>
            </w:r>
            <w:r>
              <w:rPr>
                <w:rFonts w:cs="Arial" w:ascii="Arial" w:hAnsi="Arial"/>
                <w:sz w:val="20"/>
                <w:lang w:eastAsia="en-US"/>
              </w:rPr>
              <w:t>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8.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54"/>
              <w:ind w:left="69" w:hanging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PODAĆ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9.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54"/>
              <w:ind w:left="69" w:hanging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10.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69" w:hanging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11.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69" w:hanging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229" w:hRule="atLeast"/>
        </w:trPr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429" w:hanging="429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12.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left="69" w:hanging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cs="Arial" w:ascii="Arial" w:hAnsi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TAK</w:t>
            </w:r>
          </w:p>
        </w:tc>
        <w:tc>
          <w:tcPr>
            <w:tcW w:w="2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</w:tbl>
    <w:p>
      <w:pPr>
        <w:pStyle w:val="Gwka"/>
        <w:tabs>
          <w:tab w:val="left" w:pos="708" w:leader="none"/>
          <w:tab w:val="center" w:pos="4536" w:leader="none"/>
          <w:tab w:val="right" w:pos="9072" w:leader="none"/>
        </w:tabs>
        <w:rPr>
          <w:rFonts w:ascii="Arial" w:hAnsi="Arial" w:eastAsia="Calibri" w:cs="Arial"/>
          <w:b/>
          <w:b/>
          <w:sz w:val="20"/>
        </w:rPr>
      </w:pPr>
      <w:r>
        <w:rPr>
          <w:rFonts w:eastAsia="Calibri" w:cs="Arial" w:ascii="Arial" w:hAnsi="Arial"/>
          <w:b/>
          <w:sz w:val="20"/>
        </w:rPr>
      </w:r>
    </w:p>
    <w:p>
      <w:pPr>
        <w:pStyle w:val="Gwka"/>
        <w:tabs>
          <w:tab w:val="left" w:pos="708" w:leader="none"/>
          <w:tab w:val="center" w:pos="4536" w:leader="none"/>
          <w:tab w:val="right" w:pos="9072" w:leader="none"/>
        </w:tabs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Uwagi</w:t>
      </w:r>
      <w:r>
        <w:rPr>
          <w:rFonts w:cs="Arial" w:ascii="Arial" w:hAnsi="Arial"/>
          <w:sz w:val="20"/>
        </w:rPr>
        <w:t xml:space="preserve"> :</w:t>
      </w:r>
    </w:p>
    <w:p>
      <w:pPr>
        <w:pStyle w:val="Gwka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1.  Niespełnienie któregoś z podanych warunków granicznych (wymaganych) skutkować będzie odrzuceniem oferty.</w:t>
      </w:r>
    </w:p>
    <w:p>
      <w:pPr>
        <w:pStyle w:val="Gwka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2.   Oferta nie spełniająca wymogów granicznych podlega odrzuceniu bez dalszego rozpatrywania.</w:t>
      </w:r>
    </w:p>
    <w:p>
      <w:pPr>
        <w:pStyle w:val="Gwka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Oświadczamy</w:t>
      </w:r>
      <w:r>
        <w:rPr>
          <w:rFonts w:cs="Arial" w:ascii="Arial" w:hAnsi="Arial"/>
          <w:sz w:val="20"/>
        </w:rPr>
        <w:t>, iż wyspecyfikowane powyżej urządzenia są kompletne i będą po montażu i zainstalowaniu gotowe do podjęcia prawidłowej pracy bez żadnych dodatkowych zakupów.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ind w:firstLine="708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                                                                                                   ………………</w:t>
      </w:r>
      <w:r>
        <w:rPr>
          <w:rFonts w:cs="Arial" w:ascii="Arial" w:hAnsi="Arial"/>
          <w:sz w:val="20"/>
        </w:rPr>
        <w:t xml:space="preserve">.data………………….   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                                          </w:t>
      </w:r>
      <w:r>
        <w:rPr>
          <w:rFonts w:cs="Arial" w:ascii="Arial" w:hAnsi="Arial"/>
          <w:sz w:val="20"/>
        </w:rPr>
        <w:tab/>
        <w:tab/>
        <w:tab/>
        <w:tab/>
        <w:t xml:space="preserve">          ……………………………….</w:t>
      </w:r>
    </w:p>
    <w:p>
      <w:pPr>
        <w:pStyle w:val="Tretekstu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Tretekstu"/>
        <w:spacing w:before="0" w:after="120"/>
        <w:rPr/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>osoby/osób upoważnionej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hanging="0"/>
      </w:pPr>
    </w:lvl>
    <w:lvl w:ilvl="1">
      <w:start w:val="1"/>
      <w:numFmt w:val="decimal"/>
      <w:lvlText w:val="Sekcja %1.%2"/>
      <w:lvlJc w:val="left"/>
      <w:pPr>
        <w:tabs>
          <w:tab w:val="num" w:pos="1080"/>
        </w:tabs>
        <w:ind w:left="0" w:hanging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36f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paragraph" w:styleId="Nagwek1">
    <w:name w:val="Nagłówek 1"/>
    <w:basedOn w:val="Normal"/>
    <w:link w:val="Nagwek1Znak"/>
    <w:qFormat/>
    <w:rsid w:val="00ec36f3"/>
    <w:pPr>
      <w:keepNext/>
      <w:numPr>
        <w:ilvl w:val="0"/>
        <w:numId w:val="1"/>
      </w:numPr>
      <w:jc w:val="center"/>
      <w:outlineLvl w:val="0"/>
      <w:outlineLvl w:val="0"/>
    </w:pPr>
    <w:rPr>
      <w:b/>
      <w:bCs/>
      <w:u w:val="single"/>
    </w:rPr>
  </w:style>
  <w:style w:type="paragraph" w:styleId="Nagwek2">
    <w:name w:val="Nagłówek 2"/>
    <w:basedOn w:val="Normal"/>
    <w:link w:val="Nagwek2Znak"/>
    <w:qFormat/>
    <w:rsid w:val="00ec36f3"/>
    <w:pPr>
      <w:keepNext/>
      <w:numPr>
        <w:ilvl w:val="1"/>
        <w:numId w:val="1"/>
      </w:numPr>
      <w:outlineLvl w:val="1"/>
      <w:outlineLvl w:val="1"/>
    </w:pPr>
    <w:rPr>
      <w:b/>
      <w:szCs w:val="20"/>
      <w:u w:val="single"/>
    </w:rPr>
  </w:style>
  <w:style w:type="paragraph" w:styleId="Nagwek3">
    <w:name w:val="Nagłówek 3"/>
    <w:basedOn w:val="Normal"/>
    <w:link w:val="Nagwek3Znak"/>
    <w:qFormat/>
    <w:rsid w:val="00ec36f3"/>
    <w:pPr>
      <w:keepNext/>
      <w:numPr>
        <w:ilvl w:val="2"/>
        <w:numId w:val="1"/>
      </w:numPr>
      <w:outlineLvl w:val="2"/>
      <w:outlineLvl w:val="2"/>
    </w:pPr>
    <w:rPr>
      <w:rFonts w:ascii="Tahoma" w:hAnsi="Tahoma"/>
      <w:b/>
      <w:sz w:val="18"/>
      <w:szCs w:val="20"/>
    </w:rPr>
  </w:style>
  <w:style w:type="paragraph" w:styleId="Nagwek4">
    <w:name w:val="Nagłówek 4"/>
    <w:basedOn w:val="Normal"/>
    <w:link w:val="Nagwek4Znak"/>
    <w:qFormat/>
    <w:rsid w:val="00ec36f3"/>
    <w:pPr>
      <w:keepNext/>
      <w:numPr>
        <w:ilvl w:val="3"/>
        <w:numId w:val="1"/>
      </w:numPr>
      <w:spacing w:before="240" w:after="60"/>
      <w:outlineLvl w:val="3"/>
      <w:outlineLvl w:val="3"/>
    </w:pPr>
    <w:rPr>
      <w:b/>
      <w:bCs/>
      <w:sz w:val="28"/>
      <w:szCs w:val="28"/>
    </w:rPr>
  </w:style>
  <w:style w:type="paragraph" w:styleId="Nagwek5">
    <w:name w:val="Nagłówek 5"/>
    <w:basedOn w:val="Normal"/>
    <w:link w:val="Nagwek5Znak"/>
    <w:qFormat/>
    <w:rsid w:val="00ec36f3"/>
    <w:pPr>
      <w:numPr>
        <w:ilvl w:val="4"/>
        <w:numId w:val="1"/>
      </w:numPr>
      <w:spacing w:before="240" w:after="60"/>
      <w:outlineLvl w:val="4"/>
      <w:outlineLvl w:val="4"/>
    </w:pPr>
    <w:rPr>
      <w:b/>
      <w:bCs/>
      <w:i/>
      <w:iCs/>
      <w:sz w:val="26"/>
      <w:szCs w:val="26"/>
    </w:rPr>
  </w:style>
  <w:style w:type="paragraph" w:styleId="Nagwek6">
    <w:name w:val="Nagłówek 6"/>
    <w:basedOn w:val="Normal"/>
    <w:link w:val="Nagwek6Znak"/>
    <w:qFormat/>
    <w:rsid w:val="00ec36f3"/>
    <w:pPr>
      <w:numPr>
        <w:ilvl w:val="5"/>
        <w:numId w:val="1"/>
      </w:numPr>
      <w:spacing w:before="240" w:after="60"/>
      <w:outlineLvl w:val="5"/>
      <w:outlineLvl w:val="5"/>
    </w:pPr>
    <w:rPr>
      <w:b/>
      <w:bCs/>
      <w:sz w:val="22"/>
      <w:szCs w:val="22"/>
    </w:rPr>
  </w:style>
  <w:style w:type="paragraph" w:styleId="Nagwek7">
    <w:name w:val="Nagłówek 7"/>
    <w:basedOn w:val="Normal"/>
    <w:link w:val="Nagwek7Znak"/>
    <w:qFormat/>
    <w:rsid w:val="00ec36f3"/>
    <w:pPr>
      <w:numPr>
        <w:ilvl w:val="6"/>
        <w:numId w:val="1"/>
      </w:numPr>
      <w:spacing w:before="240" w:after="60"/>
      <w:outlineLvl w:val="6"/>
      <w:outlineLvl w:val="6"/>
    </w:pPr>
    <w:rPr/>
  </w:style>
  <w:style w:type="paragraph" w:styleId="Nagwek8">
    <w:name w:val="Nagłówek 8"/>
    <w:basedOn w:val="Normal"/>
    <w:link w:val="Nagwek8Znak"/>
    <w:qFormat/>
    <w:rsid w:val="00ec36f3"/>
    <w:pPr>
      <w:numPr>
        <w:ilvl w:val="7"/>
        <w:numId w:val="1"/>
      </w:numPr>
      <w:spacing w:before="240" w:after="60"/>
      <w:outlineLvl w:val="7"/>
      <w:outlineLvl w:val="7"/>
    </w:pPr>
    <w:rPr>
      <w:i/>
      <w:iCs/>
    </w:rPr>
  </w:style>
  <w:style w:type="paragraph" w:styleId="Nagwek9">
    <w:name w:val="Nagłówek 9"/>
    <w:basedOn w:val="Normal"/>
    <w:link w:val="Nagwek9Znak"/>
    <w:qFormat/>
    <w:rsid w:val="00ec36f3"/>
    <w:pPr>
      <w:numPr>
        <w:ilvl w:val="8"/>
        <w:numId w:val="1"/>
      </w:numPr>
      <w:spacing w:before="240" w:after="60"/>
      <w:outlineLvl w:val="8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ec36f3"/>
    <w:rPr>
      <w:rFonts w:ascii="Times New Roman" w:hAnsi="Times New Roman" w:eastAsia="Times New Roman" w:cs="Times New Roman"/>
      <w:b/>
      <w:bCs/>
      <w:sz w:val="24"/>
      <w:szCs w:val="24"/>
      <w:u w:val="single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ec36f3"/>
    <w:rPr>
      <w:rFonts w:ascii="Times New Roman" w:hAnsi="Times New Roman" w:eastAsia="Times New Roman" w:cs="Times New Roman"/>
      <w:b/>
      <w:sz w:val="24"/>
      <w:szCs w:val="20"/>
      <w:u w:val="single"/>
      <w:lang w:eastAsia="pl-PL"/>
    </w:rPr>
  </w:style>
  <w:style w:type="character" w:styleId="Nagwek3Znak" w:customStyle="1">
    <w:name w:val="Nagłówek 3 Znak"/>
    <w:basedOn w:val="DefaultParagraphFont"/>
    <w:link w:val="Nagwek3"/>
    <w:qFormat/>
    <w:rsid w:val="00ec36f3"/>
    <w:rPr>
      <w:rFonts w:ascii="Tahoma" w:hAnsi="Tahoma" w:eastAsia="Times New Roman" w:cs="Times New Roman"/>
      <w:b/>
      <w:sz w:val="18"/>
      <w:szCs w:val="20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ec36f3"/>
    <w:rPr>
      <w:rFonts w:ascii="Times New Roman" w:hAnsi="Times New Roman" w:eastAsia="Times New Roman" w:cs="Times New Roman"/>
      <w:b/>
      <w:bCs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link w:val="Nagwek5"/>
    <w:qFormat/>
    <w:rsid w:val="00ec36f3"/>
    <w:rPr>
      <w:rFonts w:ascii="Times New Roman" w:hAnsi="Times New Roman" w:eastAsia="Times New Roman" w:cs="Times New Roman"/>
      <w:b/>
      <w:bCs/>
      <w:i/>
      <w:iCs/>
      <w:sz w:val="26"/>
      <w:szCs w:val="26"/>
      <w:lang w:eastAsia="pl-PL"/>
    </w:rPr>
  </w:style>
  <w:style w:type="character" w:styleId="Nagwek6Znak" w:customStyle="1">
    <w:name w:val="Nagłówek 6 Znak"/>
    <w:basedOn w:val="DefaultParagraphFont"/>
    <w:link w:val="Nagwek6"/>
    <w:qFormat/>
    <w:rsid w:val="00ec36f3"/>
    <w:rPr>
      <w:rFonts w:ascii="Times New Roman" w:hAnsi="Times New Roman" w:eastAsia="Times New Roman" w:cs="Times New Roman"/>
      <w:b/>
      <w:bCs/>
      <w:lang w:eastAsia="pl-PL"/>
    </w:rPr>
  </w:style>
  <w:style w:type="character" w:styleId="Nagwek7Znak" w:customStyle="1">
    <w:name w:val="Nagłówek 7 Znak"/>
    <w:basedOn w:val="DefaultParagraphFont"/>
    <w:link w:val="Nagwek7"/>
    <w:qFormat/>
    <w:rsid w:val="00ec36f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8Znak" w:customStyle="1">
    <w:name w:val="Nagłówek 8 Znak"/>
    <w:basedOn w:val="DefaultParagraphFont"/>
    <w:link w:val="Nagwek8"/>
    <w:qFormat/>
    <w:rsid w:val="00ec36f3"/>
    <w:rPr>
      <w:rFonts w:ascii="Times New Roman" w:hAnsi="Times New Roman" w:eastAsia="Times New Roman" w:cs="Times New Roman"/>
      <w:i/>
      <w:iCs/>
      <w:sz w:val="24"/>
      <w:szCs w:val="24"/>
      <w:lang w:eastAsia="pl-PL"/>
    </w:rPr>
  </w:style>
  <w:style w:type="character" w:styleId="Nagwek9Znak" w:customStyle="1">
    <w:name w:val="Nagłówek 9 Znak"/>
    <w:basedOn w:val="DefaultParagraphFont"/>
    <w:link w:val="Nagwek9"/>
    <w:qFormat/>
    <w:rsid w:val="00ec36f3"/>
    <w:rPr>
      <w:rFonts w:ascii="Arial" w:hAnsi="Arial" w:eastAsia="Times New Roman" w:cs="Arial"/>
      <w:lang w:eastAsia="pl-PL"/>
    </w:rPr>
  </w:style>
  <w:style w:type="character" w:styleId="NagwekZnak" w:customStyle="1">
    <w:name w:val="Nagłówek Znak"/>
    <w:basedOn w:val="DefaultParagraphFont"/>
    <w:link w:val="Nagwek"/>
    <w:qFormat/>
    <w:rsid w:val="00e262fd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TekstpodstawowyZnak" w:customStyle="1">
    <w:name w:val="Tekst podstawowy Znak"/>
    <w:basedOn w:val="DefaultParagraphFont"/>
    <w:link w:val="Tekstpodstawowy"/>
    <w:qFormat/>
    <w:rsid w:val="00e262fd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retekstu">
    <w:name w:val="Treść tekstu"/>
    <w:basedOn w:val="Normal"/>
    <w:link w:val="TekstpodstawowyZnak"/>
    <w:rsid w:val="00e262fd"/>
    <w:pPr>
      <w:spacing w:before="0" w:after="120"/>
    </w:pPr>
    <w:rPr/>
  </w:style>
  <w:style w:type="paragraph" w:styleId="Lista">
    <w:name w:val="Lista"/>
    <w:basedOn w:val="Tretekstu"/>
    <w:pPr/>
    <w:rPr>
      <w:rFonts w:cs="Free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FreeSans"/>
    </w:rPr>
  </w:style>
  <w:style w:type="paragraph" w:styleId="Standard" w:customStyle="1">
    <w:name w:val="Standard"/>
    <w:qFormat/>
    <w:rsid w:val="00ec36f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Mangal"/>
      <w:color w:val="auto"/>
      <w:sz w:val="24"/>
      <w:szCs w:val="24"/>
      <w:lang w:eastAsia="zh-CN" w:bidi="hi-IN" w:val="pl-PL"/>
    </w:rPr>
  </w:style>
  <w:style w:type="paragraph" w:styleId="Zawartotabeli" w:customStyle="1">
    <w:name w:val="Zawartość tabeli"/>
    <w:basedOn w:val="Standard"/>
    <w:qFormat/>
    <w:rsid w:val="00ec36f3"/>
    <w:pPr>
      <w:suppressLineNumbers/>
    </w:pPr>
    <w:rPr/>
  </w:style>
  <w:style w:type="paragraph" w:styleId="Gwka">
    <w:name w:val="Główka"/>
    <w:basedOn w:val="Normal"/>
    <w:link w:val="NagwekZnak"/>
    <w:rsid w:val="00e262fd"/>
    <w:pPr>
      <w:tabs>
        <w:tab w:val="center" w:pos="4536" w:leader="none"/>
        <w:tab w:val="right" w:pos="9072" w:leader="none"/>
      </w:tabs>
    </w:pPr>
    <w:rPr>
      <w:lang w:val="x-none" w:eastAsia="x-none"/>
    </w:rPr>
  </w:style>
  <w:style w:type="paragraph" w:styleId="NoSpacing">
    <w:name w:val="No Spacing"/>
    <w:uiPriority w:val="1"/>
    <w:qFormat/>
    <w:rsid w:val="00e262fd"/>
    <w:pPr>
      <w:widowControl/>
      <w:suppressAutoHyphens w:val="true"/>
      <w:bidi w:val="0"/>
      <w:spacing w:lineRule="auto" w:line="240" w:before="0" w:after="0"/>
      <w:jc w:val="left"/>
    </w:pPr>
    <w:rPr>
      <w:rFonts w:ascii="Verdana" w:hAnsi="Verdana" w:eastAsia="Times New Roman" w:cs="Times New Roman"/>
      <w:color w:val="auto"/>
      <w:sz w:val="24"/>
      <w:szCs w:val="20"/>
      <w:lang w:eastAsia="pl-PL" w:val="pl-PL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AB783-D485-41A7-8DF8-C991A937E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LibreOffice/5.0.3.2$Linux_X86_64 LibreOffice_project/00m0$Build-2</Application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2017-11-20T11:14:00Z</dcterms:created>
  <dc:creator>Gabriela GW. Kamińska-Wolak</dc:creator>
  <dc:language>pl-PL</dc:language>
  <cp:lastModifiedBy>Gabrysia </cp:lastModifiedBy>
  <dcterms:modified xsi:type="dcterms:W3CDTF">2017-11-26T19:48:08Z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