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F453B">
        <w:rPr>
          <w:rFonts w:cs="Arial"/>
        </w:rPr>
        <w:t>–</w:t>
      </w:r>
      <w:r w:rsidR="00F33F53">
        <w:rPr>
          <w:rFonts w:cs="Arial"/>
        </w:rPr>
        <w:t>3</w:t>
      </w:r>
      <w:r w:rsidR="00CF0951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</w:t>
      </w:r>
      <w:r w:rsidR="00AD46FC">
        <w:rPr>
          <w:rFonts w:cs="Arial"/>
        </w:rPr>
        <w:t xml:space="preserve">                                     </w:t>
      </w:r>
      <w:r>
        <w:rPr>
          <w:rFonts w:cs="Arial"/>
        </w:rPr>
        <w:t xml:space="preserve">       ZOZ/DZP/PN/</w:t>
      </w:r>
      <w:r w:rsidR="00CF0951">
        <w:rPr>
          <w:rFonts w:cs="Arial"/>
        </w:rPr>
        <w:t>12</w:t>
      </w:r>
      <w:r w:rsidR="00B901C5">
        <w:rPr>
          <w:rFonts w:cs="Arial"/>
        </w:rPr>
        <w:t>/2</w:t>
      </w:r>
      <w:r w:rsidR="00CF0951">
        <w:rPr>
          <w:rFonts w:cs="Arial"/>
        </w:rPr>
        <w:t>1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F33F53">
        <w:rPr>
          <w:rFonts w:ascii="Arial" w:hAnsi="Arial" w:cs="Arial"/>
          <w:b/>
          <w:bCs/>
          <w:szCs w:val="20"/>
        </w:rPr>
        <w:t>3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F33F53" w:rsidP="00ED3808">
      <w:pPr>
        <w:pStyle w:val="Nagwek6"/>
        <w:jc w:val="both"/>
        <w:rPr>
          <w:sz w:val="24"/>
          <w:szCs w:val="24"/>
        </w:rPr>
      </w:pPr>
      <w:r w:rsidRPr="00646C5B">
        <w:rPr>
          <w:rFonts w:cs="Arial"/>
          <w:sz w:val="20"/>
        </w:rPr>
        <w:t>Wózek do transportu chorych w pozycji siedzącej</w:t>
      </w:r>
      <w:r>
        <w:rPr>
          <w:rFonts w:cs="Arial"/>
        </w:rPr>
        <w:t xml:space="preserve"> </w:t>
      </w:r>
      <w:r w:rsidR="00CF03A4">
        <w:rPr>
          <w:rFonts w:cs="Arial"/>
        </w:rPr>
        <w:t xml:space="preserve">– </w:t>
      </w:r>
      <w:r w:rsidR="00CF0951">
        <w:rPr>
          <w:rFonts w:cs="Arial"/>
          <w:b w:val="0"/>
          <w:sz w:val="24"/>
          <w:szCs w:val="24"/>
        </w:rPr>
        <w:t>2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A7A05" w:rsidRDefault="00CF03A4" w:rsidP="00B901C5">
            <w:pPr>
              <w:rPr>
                <w:rFonts w:ascii="Arial" w:hAnsi="Arial" w:cs="Arial"/>
              </w:rPr>
            </w:pPr>
            <w:r w:rsidRPr="009A7A05">
              <w:rPr>
                <w:rFonts w:ascii="Arial" w:hAnsi="Arial" w:cs="Arial"/>
              </w:rPr>
              <w:t xml:space="preserve">Rok produkcji – fabrycznie nowe, </w:t>
            </w:r>
            <w:r w:rsidR="00E615F3" w:rsidRPr="009A7A05">
              <w:rPr>
                <w:rFonts w:ascii="Arial" w:hAnsi="Arial" w:cs="Arial"/>
              </w:rPr>
              <w:t>20</w:t>
            </w:r>
            <w:r w:rsidR="00B901C5" w:rsidRPr="009A7A05">
              <w:rPr>
                <w:rFonts w:ascii="Arial" w:hAnsi="Arial" w:cs="Arial"/>
              </w:rPr>
              <w:t>20</w:t>
            </w:r>
            <w:r w:rsidR="00E12C66">
              <w:rPr>
                <w:rFonts w:ascii="Arial" w:hAnsi="Arial" w:cs="Arial"/>
              </w:rPr>
              <w:t xml:space="preserve"> - 2021</w:t>
            </w:r>
            <w:r w:rsidR="00B901C5" w:rsidRPr="009A7A05">
              <w:rPr>
                <w:rFonts w:ascii="Arial" w:hAnsi="Arial" w:cs="Arial"/>
              </w:rPr>
              <w:t xml:space="preserve"> </w:t>
            </w:r>
            <w:r w:rsidRPr="009A7A05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5C13BA" w:rsidRDefault="00E12C66" w:rsidP="00FA1806">
            <w:pPr>
              <w:pStyle w:val="Nagwek1"/>
              <w:spacing w:before="40" w:after="40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5C13BA">
              <w:rPr>
                <w:rFonts w:ascii="Arial" w:hAnsi="Arial" w:cs="Arial"/>
                <w:color w:val="auto"/>
                <w:sz w:val="22"/>
                <w:szCs w:val="22"/>
              </w:rPr>
              <w:t>Wymiary zewnętrzne w pozycji leżącej</w:t>
            </w:r>
            <w:r w:rsidRPr="005C13BA">
              <w:rPr>
                <w:rFonts w:ascii="Arial" w:hAnsi="Arial" w:cs="Arial"/>
                <w:color w:val="auto"/>
                <w:sz w:val="22"/>
                <w:szCs w:val="22"/>
              </w:rPr>
              <w:tab/>
              <w:t>1600 x 700 mm  (+/- 20 mm)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12C66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BF33E4" w:rsidRDefault="00A4716F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E12C66" w:rsidP="00FA1806">
            <w:pPr>
              <w:rPr>
                <w:rFonts w:ascii="Calibri" w:hAnsi="Calibri"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Wymiary zewnętrzne w pozycji siedzącej</w:t>
            </w:r>
            <w:r>
              <w:rPr>
                <w:rFonts w:ascii="Arial" w:hAnsi="Arial" w:cs="Arial"/>
                <w:sz w:val="22"/>
                <w:szCs w:val="22"/>
              </w:rPr>
              <w:tab/>
              <w:t>900 x 700 mm (+/- 20 mm)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12C66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E12C66" w:rsidP="00FA1806">
            <w:pPr>
              <w:rPr>
                <w:rFonts w:ascii="Calibri" w:hAnsi="Calibri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Regulacja pleców</w:t>
            </w:r>
            <w:r>
              <w:rPr>
                <w:rFonts w:ascii="Arial" w:hAnsi="Arial" w:cs="Arial"/>
                <w:sz w:val="22"/>
                <w:szCs w:val="22"/>
              </w:rPr>
              <w:tab/>
              <w:t>do   75 ˚ (+/-5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A4716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12C66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E12C66" w:rsidP="00FA1806">
            <w:pPr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Regulacja podnóżka</w:t>
            </w:r>
            <w:r>
              <w:rPr>
                <w:rFonts w:ascii="Arial" w:hAnsi="Arial" w:cs="Arial"/>
                <w:sz w:val="22"/>
                <w:szCs w:val="22"/>
              </w:rPr>
              <w:tab/>
              <w:t>do - 90 ˚ (+/-5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o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12C66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E12C66" w:rsidP="00FA1806">
            <w:pPr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Synchroniczne regulacja segmentu pleców i nożnego – podczas podnoszenia segmentu pleców, segment nożny podnosi się i odwrotnie. Regulacja segmentów możliwa po zwolnieniu blokady umieszczonej przy uchwycie do prowadzenia wózka przy segmencie pleców.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E12C66" w:rsidP="00FA1806">
            <w:pPr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Regulacja podłokietników z możliwością blokowania w przynajmniej 4 podstawowych pozycjach (pod katem ułatwiające wstawanie, horyzontalne podczas pozycji siedzenia, opuszczone pod kątem zabezpieczające w pozycji siedzącej, opuszczone całkowicie nie przeszkadzające podczas transportu z i na fotel)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7131F" w:rsidRDefault="00E12C66" w:rsidP="00FA1806">
            <w:pPr>
              <w:rPr>
                <w:rFonts w:ascii="Calibri" w:hAnsi="Calibri"/>
              </w:rPr>
            </w:pPr>
            <w:r>
              <w:rPr>
                <w:rFonts w:ascii="Arial" w:hAnsi="Arial" w:cs="Arial"/>
                <w:sz w:val="22"/>
                <w:szCs w:val="22"/>
              </w:rPr>
              <w:t>System kół wyposażony w system blokady centralnej. Pojedyncza dźwignia łącząca tylne koła. Duże koła o średnicy 300mm z przodu fotela zwiększające mobilność i zmniejszające wysiłek fizyczny. Tylne koła o średnicy 125mm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BC6FB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E12C66" w:rsidP="00FA1806">
            <w:pPr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>Zintegrowana podpórka stóp blokująca automatycznie podwozie fotela, zabezpieczająca przed upadkami przy wchodzeniu i schodzeniu z fotela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E12C66" w:rsidP="00FA18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Oparcie pleców, siedzisko i podnóżek tapicerowany dostępny w co najmniej czterech kolorach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BF33E4" w:rsidRDefault="00A4716F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716F" w:rsidRPr="00A4716F" w:rsidRDefault="00E12C66" w:rsidP="00FA18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Możliwość wypoziomowania segmentów, ułożenie pacjenta w pozycji leżącej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B901C5" w:rsidRDefault="00A4716F" w:rsidP="00E12C66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716F" w:rsidRPr="00B901C5" w:rsidRDefault="00A4716F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12C66" w:rsidRPr="00FA4CE7" w:rsidTr="005C13BA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2C66" w:rsidRDefault="00E12C66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C66" w:rsidRDefault="00E12C66" w:rsidP="00FA18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Podgłówek z regulacją wysokości.</w:t>
            </w:r>
            <w:r>
              <w:rPr>
                <w:rFonts w:ascii="Arial" w:hAnsi="Arial" w:cs="Arial"/>
                <w:sz w:val="22"/>
                <w:szCs w:val="22"/>
              </w:rPr>
              <w:br/>
              <w:t>Możliwość zamontowania tabletu do jedzenia picia czytania i pisania</w:t>
            </w:r>
          </w:p>
          <w:p w:rsidR="00E12C66" w:rsidRPr="00E12C66" w:rsidRDefault="00E12C66" w:rsidP="00FA1806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BC2283">
              <w:rPr>
                <w:rFonts w:ascii="Arial" w:hAnsi="Arial" w:cs="Arial"/>
                <w:sz w:val="22"/>
                <w:szCs w:val="22"/>
                <w:highlight w:val="yellow"/>
                <w:u w:val="single"/>
              </w:rPr>
              <w:t>Zasady oceny punktowej:</w:t>
            </w:r>
          </w:p>
          <w:p w:rsidR="00E12C66" w:rsidRDefault="00E12C66" w:rsidP="00E12C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 – 10 pkt</w:t>
            </w:r>
          </w:p>
          <w:p w:rsidR="00E12C66" w:rsidRDefault="00E12C66" w:rsidP="00E12C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 – 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E12C66" w:rsidRPr="00B901C5" w:rsidRDefault="00E12C66" w:rsidP="00B901C5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NIE/Podać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E12C66" w:rsidRPr="00B901C5" w:rsidRDefault="00E12C66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12C66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2C66" w:rsidRDefault="00E12C66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C66" w:rsidRDefault="00E12C66" w:rsidP="00FA18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Uchwyt do prowadzenia wózka w segmencie pleców.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2C66" w:rsidRPr="00B901C5" w:rsidRDefault="00E12C66" w:rsidP="00B901C5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2C66" w:rsidRPr="00B901C5" w:rsidRDefault="00E12C66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12C66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2C66" w:rsidRDefault="00E12C66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C66" w:rsidRDefault="00E12C66" w:rsidP="00FA18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 oparciem pleców tapicerowana kieszeń na drobne rzeczy pacjenta, kieszeń w kolorze fotela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2C66" w:rsidRPr="00B901C5" w:rsidRDefault="00E12C66" w:rsidP="00B901C5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2C66" w:rsidRPr="00B901C5" w:rsidRDefault="00E12C66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12C66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2C66" w:rsidRDefault="00E12C66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C66" w:rsidRDefault="00E12C66" w:rsidP="00FA18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Manualna regulacja wysokości w zakresie 450mm – 710mm (+/-20mm). Regulacja za pomocą dźwigni nożnej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2C66" w:rsidRPr="00B901C5" w:rsidRDefault="00E12C66" w:rsidP="00B901C5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2C66" w:rsidRPr="00B901C5" w:rsidRDefault="00E12C66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12C66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12C66" w:rsidRDefault="00E12C66" w:rsidP="00B901C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2C66" w:rsidRDefault="005C13BA" w:rsidP="00FA18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Fotel wyposażony w nożną dźwignie po naciśnięciu której podnosi się tylna część fotela. Fotel przechyla się do przodu „wypychając” pacjenta z fotela. System ułatwiający mobilizacją pacjenta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2C66" w:rsidRPr="00B901C5" w:rsidRDefault="005C13BA" w:rsidP="00B901C5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2C66" w:rsidRPr="00B901C5" w:rsidRDefault="00E12C66" w:rsidP="00B901C5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716F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946DEC" w:rsidRDefault="00A4716F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4716F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Pr="00946DEC" w:rsidRDefault="00A4716F" w:rsidP="005C13BA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</w:t>
            </w:r>
            <w:r w:rsidR="005C13BA">
              <w:rPr>
                <w:rFonts w:ascii="Arial" w:hAnsi="Arial"/>
                <w:b/>
              </w:rPr>
              <w:t>7</w:t>
            </w:r>
            <w:r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716F" w:rsidRDefault="00A4716F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4716F" w:rsidRDefault="00A4716F" w:rsidP="00C805DF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28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  <w:p w:rsidR="00A4716F" w:rsidRPr="000F5B08" w:rsidRDefault="00A4716F" w:rsidP="00C805DF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4716F" w:rsidRDefault="00A4716F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max. do 28 dni – 0 pkt</w:t>
            </w:r>
          </w:p>
          <w:p w:rsidR="00A4716F" w:rsidRDefault="00A4716F" w:rsidP="00C805D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do 21 dni – 10 pkt</w:t>
            </w:r>
          </w:p>
          <w:p w:rsidR="00A4716F" w:rsidRPr="00D94050" w:rsidRDefault="00A4716F" w:rsidP="00C805DF">
            <w:pPr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- do 10 dni – 20 pkt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4716F" w:rsidRPr="00946DEC" w:rsidRDefault="00A4716F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716F" w:rsidRPr="00F363F9" w:rsidRDefault="00A4716F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24 miesiące </w:t>
            </w:r>
            <w:r w:rsidR="00C805DF">
              <w:rPr>
                <w:rFonts w:ascii="Arial" w:hAnsi="Arial" w:cs="Arial"/>
              </w:rPr>
              <w:t>i poniżej 3</w:t>
            </w:r>
            <w:r w:rsidR="005C13BA">
              <w:rPr>
                <w:rFonts w:ascii="Arial" w:hAnsi="Arial" w:cs="Arial"/>
              </w:rPr>
              <w:t>0</w:t>
            </w:r>
            <w:r w:rsidR="00C805DF">
              <w:rPr>
                <w:rFonts w:ascii="Arial" w:hAnsi="Arial" w:cs="Arial"/>
              </w:rPr>
              <w:t xml:space="preserve"> miesięcy</w:t>
            </w:r>
            <w:r>
              <w:rPr>
                <w:rFonts w:ascii="Arial" w:hAnsi="Arial" w:cs="Arial"/>
              </w:rPr>
              <w:t>– 0 pkt</w:t>
            </w:r>
          </w:p>
          <w:p w:rsidR="00E34970" w:rsidRDefault="005C13BA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- 30</w:t>
            </w:r>
            <w:r w:rsidR="00C805DF">
              <w:rPr>
                <w:rFonts w:ascii="Arial" w:hAnsi="Arial" w:cs="Arial"/>
              </w:rPr>
              <w:t xml:space="preserve"> miesięcy i poniżej </w:t>
            </w:r>
            <w:r>
              <w:rPr>
                <w:rFonts w:ascii="Arial" w:hAnsi="Arial" w:cs="Arial"/>
              </w:rPr>
              <w:t>36</w:t>
            </w:r>
            <w:r w:rsidR="00C805DF">
              <w:rPr>
                <w:rFonts w:ascii="Arial" w:hAnsi="Arial" w:cs="Arial"/>
              </w:rPr>
              <w:t xml:space="preserve"> miesięcy</w:t>
            </w:r>
            <w:r w:rsidR="00E34970">
              <w:rPr>
                <w:rFonts w:ascii="Arial" w:hAnsi="Arial" w:cs="Arial"/>
              </w:rPr>
              <w:t xml:space="preserve"> – 10 pkt</w:t>
            </w:r>
          </w:p>
          <w:p w:rsidR="00C805DF" w:rsidRPr="00F013A7" w:rsidRDefault="00C805DF" w:rsidP="005C13BA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="005C13BA">
              <w:rPr>
                <w:rFonts w:ascii="Arial" w:hAnsi="Arial" w:cs="Arial"/>
              </w:rPr>
              <w:t>36</w:t>
            </w:r>
            <w:r>
              <w:rPr>
                <w:rFonts w:ascii="Arial" w:hAnsi="Arial" w:cs="Arial"/>
              </w:rPr>
              <w:t xml:space="preserve"> miesięcy i powyżej – 20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CF0951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5B69D5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B69D5">
        <w:rPr>
          <w:rFonts w:ascii="Arial" w:hAnsi="Arial" w:cs="Arial"/>
        </w:rPr>
        <w:t xml:space="preserve">                                                                                          </w:t>
      </w:r>
      <w:bookmarkStart w:id="0" w:name="_GoBack"/>
      <w:bookmarkEnd w:id="0"/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699" w:rsidRDefault="00EB3699" w:rsidP="00C7451F">
      <w:r>
        <w:separator/>
      </w:r>
    </w:p>
  </w:endnote>
  <w:endnote w:type="continuationSeparator" w:id="0">
    <w:p w:rsidR="00EB3699" w:rsidRDefault="00EB3699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 w:rsidR="00296905">
      <w:rPr>
        <w:noProof/>
      </w:rPr>
      <w:fldChar w:fldCharType="begin"/>
    </w:r>
    <w:r>
      <w:rPr>
        <w:noProof/>
      </w:rPr>
      <w:instrText xml:space="preserve"> PAGE </w:instrText>
    </w:r>
    <w:r w:rsidR="00296905">
      <w:rPr>
        <w:noProof/>
      </w:rPr>
      <w:fldChar w:fldCharType="separate"/>
    </w:r>
    <w:r w:rsidR="005B69D5">
      <w:rPr>
        <w:noProof/>
      </w:rPr>
      <w:t>3</w:t>
    </w:r>
    <w:r w:rsidR="00296905">
      <w:rPr>
        <w:noProof/>
      </w:rPr>
      <w:fldChar w:fldCharType="end"/>
    </w:r>
    <w:r>
      <w:t xml:space="preserve"> z </w:t>
    </w:r>
    <w:r w:rsidR="00296905">
      <w:rPr>
        <w:noProof/>
      </w:rPr>
      <w:fldChar w:fldCharType="begin"/>
    </w:r>
    <w:r>
      <w:rPr>
        <w:noProof/>
      </w:rPr>
      <w:instrText xml:space="preserve"> NUMPAGES </w:instrText>
    </w:r>
    <w:r w:rsidR="00296905">
      <w:rPr>
        <w:noProof/>
      </w:rPr>
      <w:fldChar w:fldCharType="separate"/>
    </w:r>
    <w:r w:rsidR="005B69D5">
      <w:rPr>
        <w:noProof/>
      </w:rPr>
      <w:t>3</w:t>
    </w:r>
    <w:r w:rsidR="00296905"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699" w:rsidRDefault="00EB3699" w:rsidP="00C7451F">
      <w:r>
        <w:separator/>
      </w:r>
    </w:p>
  </w:footnote>
  <w:footnote w:type="continuationSeparator" w:id="0">
    <w:p w:rsidR="00EB3699" w:rsidRDefault="00EB3699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29690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52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16A6"/>
    <w:rsid w:val="00000CB3"/>
    <w:rsid w:val="00017D51"/>
    <w:rsid w:val="000215CA"/>
    <w:rsid w:val="00036E05"/>
    <w:rsid w:val="00056425"/>
    <w:rsid w:val="00057397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C1EA1"/>
    <w:rsid w:val="001E740F"/>
    <w:rsid w:val="001F32C9"/>
    <w:rsid w:val="001F521E"/>
    <w:rsid w:val="00216550"/>
    <w:rsid w:val="00235950"/>
    <w:rsid w:val="00260FCE"/>
    <w:rsid w:val="002758AA"/>
    <w:rsid w:val="00277786"/>
    <w:rsid w:val="002800B7"/>
    <w:rsid w:val="00290025"/>
    <w:rsid w:val="00296905"/>
    <w:rsid w:val="00296EDB"/>
    <w:rsid w:val="002B3732"/>
    <w:rsid w:val="002B413A"/>
    <w:rsid w:val="002F450D"/>
    <w:rsid w:val="003310E2"/>
    <w:rsid w:val="0034274A"/>
    <w:rsid w:val="00367B38"/>
    <w:rsid w:val="00391D50"/>
    <w:rsid w:val="0039413F"/>
    <w:rsid w:val="0039486C"/>
    <w:rsid w:val="0039593F"/>
    <w:rsid w:val="003C2DCE"/>
    <w:rsid w:val="003C5D41"/>
    <w:rsid w:val="003D41A4"/>
    <w:rsid w:val="003D7610"/>
    <w:rsid w:val="003E7BB6"/>
    <w:rsid w:val="00406975"/>
    <w:rsid w:val="00410BB6"/>
    <w:rsid w:val="00462538"/>
    <w:rsid w:val="00493E2A"/>
    <w:rsid w:val="004B511C"/>
    <w:rsid w:val="004C6109"/>
    <w:rsid w:val="004F710F"/>
    <w:rsid w:val="004F7336"/>
    <w:rsid w:val="0051285E"/>
    <w:rsid w:val="005257C1"/>
    <w:rsid w:val="005316A6"/>
    <w:rsid w:val="00531B80"/>
    <w:rsid w:val="005401E0"/>
    <w:rsid w:val="00551A8B"/>
    <w:rsid w:val="00553ED2"/>
    <w:rsid w:val="005635D5"/>
    <w:rsid w:val="0059132C"/>
    <w:rsid w:val="005B69D5"/>
    <w:rsid w:val="005C13BA"/>
    <w:rsid w:val="005D389A"/>
    <w:rsid w:val="005E5228"/>
    <w:rsid w:val="00606F6E"/>
    <w:rsid w:val="00614F53"/>
    <w:rsid w:val="0061517B"/>
    <w:rsid w:val="006426A3"/>
    <w:rsid w:val="00663FEC"/>
    <w:rsid w:val="00671B39"/>
    <w:rsid w:val="006A69D5"/>
    <w:rsid w:val="006B1342"/>
    <w:rsid w:val="006C08F3"/>
    <w:rsid w:val="006C5116"/>
    <w:rsid w:val="00723A20"/>
    <w:rsid w:val="007319A3"/>
    <w:rsid w:val="00735B48"/>
    <w:rsid w:val="007373E0"/>
    <w:rsid w:val="007605AB"/>
    <w:rsid w:val="00775800"/>
    <w:rsid w:val="007852A0"/>
    <w:rsid w:val="007A0957"/>
    <w:rsid w:val="007B6FD2"/>
    <w:rsid w:val="007C7DAD"/>
    <w:rsid w:val="007E3853"/>
    <w:rsid w:val="007E3CA5"/>
    <w:rsid w:val="00804BED"/>
    <w:rsid w:val="00807C89"/>
    <w:rsid w:val="00815552"/>
    <w:rsid w:val="0081694B"/>
    <w:rsid w:val="00846882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538E1"/>
    <w:rsid w:val="00984F6A"/>
    <w:rsid w:val="009902B6"/>
    <w:rsid w:val="00990826"/>
    <w:rsid w:val="009A7A05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32AC"/>
    <w:rsid w:val="00A05FEE"/>
    <w:rsid w:val="00A2697D"/>
    <w:rsid w:val="00A4716F"/>
    <w:rsid w:val="00A60C8C"/>
    <w:rsid w:val="00A86F87"/>
    <w:rsid w:val="00AB2E7B"/>
    <w:rsid w:val="00AB42A7"/>
    <w:rsid w:val="00AB79E4"/>
    <w:rsid w:val="00AC7163"/>
    <w:rsid w:val="00AD212A"/>
    <w:rsid w:val="00AD46FC"/>
    <w:rsid w:val="00AD4AF8"/>
    <w:rsid w:val="00AD6B86"/>
    <w:rsid w:val="00AD7B4A"/>
    <w:rsid w:val="00AE14C4"/>
    <w:rsid w:val="00AF305C"/>
    <w:rsid w:val="00AF453B"/>
    <w:rsid w:val="00B56901"/>
    <w:rsid w:val="00B647FE"/>
    <w:rsid w:val="00B6758B"/>
    <w:rsid w:val="00B901C5"/>
    <w:rsid w:val="00BA4A0E"/>
    <w:rsid w:val="00BA6C3B"/>
    <w:rsid w:val="00BC2283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05DF"/>
    <w:rsid w:val="00C82DB7"/>
    <w:rsid w:val="00C94D8B"/>
    <w:rsid w:val="00C95339"/>
    <w:rsid w:val="00CA6E0F"/>
    <w:rsid w:val="00CB4384"/>
    <w:rsid w:val="00CD1D35"/>
    <w:rsid w:val="00CF03A4"/>
    <w:rsid w:val="00CF0951"/>
    <w:rsid w:val="00D16DB8"/>
    <w:rsid w:val="00D94050"/>
    <w:rsid w:val="00D960E8"/>
    <w:rsid w:val="00DB3AED"/>
    <w:rsid w:val="00DD6FD9"/>
    <w:rsid w:val="00E12C66"/>
    <w:rsid w:val="00E15FF9"/>
    <w:rsid w:val="00E34970"/>
    <w:rsid w:val="00E615F3"/>
    <w:rsid w:val="00E660B3"/>
    <w:rsid w:val="00E67D99"/>
    <w:rsid w:val="00E95EDC"/>
    <w:rsid w:val="00EA25EF"/>
    <w:rsid w:val="00EB3699"/>
    <w:rsid w:val="00EB4802"/>
    <w:rsid w:val="00ED34B5"/>
    <w:rsid w:val="00ED3808"/>
    <w:rsid w:val="00EE57FD"/>
    <w:rsid w:val="00F01327"/>
    <w:rsid w:val="00F013A7"/>
    <w:rsid w:val="00F053D7"/>
    <w:rsid w:val="00F126D9"/>
    <w:rsid w:val="00F33132"/>
    <w:rsid w:val="00F33F53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E9BA765-FAD6-4B8C-80A0-41443E6D5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E0F63-5862-4ED2-859F-B46953DFB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5031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8</cp:revision>
  <cp:lastPrinted>2017-03-13T08:22:00Z</cp:lastPrinted>
  <dcterms:created xsi:type="dcterms:W3CDTF">2021-04-23T07:57:00Z</dcterms:created>
  <dcterms:modified xsi:type="dcterms:W3CDTF">2021-04-28T09:35:00Z</dcterms:modified>
</cp:coreProperties>
</file>