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2E26" w:rsidRDefault="00092E26">
      <w:pPr>
        <w:pStyle w:val="Nagwek2"/>
        <w:rPr>
          <w:b w:val="0"/>
          <w:sz w:val="20"/>
          <w:szCs w:val="20"/>
        </w:rPr>
      </w:pPr>
      <w:r>
        <w:rPr>
          <w:sz w:val="20"/>
          <w:szCs w:val="20"/>
        </w:rPr>
        <w:t xml:space="preserve">Załącznik </w:t>
      </w:r>
      <w:proofErr w:type="gramStart"/>
      <w:r>
        <w:rPr>
          <w:sz w:val="20"/>
          <w:szCs w:val="20"/>
        </w:rPr>
        <w:t>nr 2-1</w:t>
      </w:r>
      <w:r w:rsidR="00422CA5">
        <w:rPr>
          <w:sz w:val="20"/>
          <w:szCs w:val="20"/>
        </w:rPr>
        <w:t>0</w:t>
      </w:r>
      <w:r>
        <w:rPr>
          <w:sz w:val="20"/>
          <w:szCs w:val="20"/>
        </w:rPr>
        <w:t xml:space="preserve">                                             </w:t>
      </w:r>
      <w:proofErr w:type="gramEnd"/>
      <w:r>
        <w:rPr>
          <w:sz w:val="20"/>
          <w:szCs w:val="20"/>
        </w:rPr>
        <w:t xml:space="preserve">                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ZOZ/DZP/PN/</w:t>
      </w:r>
      <w:r w:rsidR="00422CA5">
        <w:rPr>
          <w:sz w:val="20"/>
          <w:szCs w:val="20"/>
        </w:rPr>
        <w:t>22/21</w:t>
      </w:r>
    </w:p>
    <w:p w:rsidR="00092E26" w:rsidRDefault="00092E26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                 </w:t>
      </w:r>
    </w:p>
    <w:p w:rsidR="00092E26" w:rsidRDefault="00092E26">
      <w:pPr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OPIS PRZEDMIOTU ZAMÓWIENIA</w:t>
      </w:r>
    </w:p>
    <w:p w:rsidR="00092E26" w:rsidRDefault="00092E26">
      <w:pPr>
        <w:pStyle w:val="Standard"/>
        <w:rPr>
          <w:rFonts w:ascii="Arial" w:hAnsi="Arial" w:cs="Arial"/>
          <w:b/>
          <w:bCs/>
          <w:sz w:val="20"/>
          <w:szCs w:val="20"/>
        </w:rPr>
      </w:pPr>
    </w:p>
    <w:p w:rsidR="00092E26" w:rsidRDefault="00092E26">
      <w:pPr>
        <w:pStyle w:val="Standard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Zadanie nr 1</w:t>
      </w:r>
      <w:r w:rsidR="00422CA5">
        <w:rPr>
          <w:rFonts w:ascii="Arial" w:hAnsi="Arial" w:cs="Arial"/>
          <w:b/>
          <w:bCs/>
          <w:sz w:val="20"/>
          <w:szCs w:val="20"/>
        </w:rPr>
        <w:t>0</w:t>
      </w:r>
    </w:p>
    <w:p w:rsidR="00092E26" w:rsidRDefault="00092E26">
      <w:pPr>
        <w:pStyle w:val="Standard"/>
        <w:rPr>
          <w:rFonts w:ascii="Arial" w:hAnsi="Arial" w:cs="Arial"/>
          <w:b/>
          <w:bCs/>
          <w:sz w:val="20"/>
          <w:szCs w:val="20"/>
        </w:rPr>
      </w:pPr>
    </w:p>
    <w:p w:rsidR="00092E26" w:rsidRDefault="00092E26">
      <w:pPr>
        <w:pStyle w:val="Listapunktowana3"/>
        <w:ind w:left="0" w:firstLine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  <w:lang w:val="pl-PL"/>
        </w:rPr>
        <w:t xml:space="preserve">Aparat do posiewu krwi i płynów ustrojowych </w:t>
      </w:r>
      <w:r>
        <w:rPr>
          <w:rFonts w:ascii="Arial" w:hAnsi="Arial" w:cs="Arial"/>
          <w:sz w:val="20"/>
          <w:szCs w:val="20"/>
        </w:rPr>
        <w:t>1 szt (dzierżawa</w:t>
      </w:r>
      <w:r w:rsidR="00422CA5">
        <w:rPr>
          <w:rFonts w:ascii="Arial" w:hAnsi="Arial" w:cs="Arial"/>
          <w:sz w:val="20"/>
          <w:szCs w:val="20"/>
        </w:rPr>
        <w:t xml:space="preserve"> na 12 miesięcy</w:t>
      </w:r>
      <w:r>
        <w:rPr>
          <w:rFonts w:ascii="Arial" w:hAnsi="Arial" w:cs="Arial"/>
          <w:sz w:val="20"/>
          <w:szCs w:val="20"/>
        </w:rPr>
        <w:t>)</w:t>
      </w:r>
    </w:p>
    <w:p w:rsidR="00092E26" w:rsidRDefault="00092E26">
      <w:pPr>
        <w:pStyle w:val="Listapunktowana3"/>
        <w:ind w:left="0" w:firstLine="0"/>
        <w:rPr>
          <w:rFonts w:ascii="Arial" w:hAnsi="Arial" w:cs="Arial"/>
          <w:b/>
          <w:sz w:val="20"/>
          <w:szCs w:val="20"/>
        </w:rPr>
      </w:pPr>
    </w:p>
    <w:tbl>
      <w:tblPr>
        <w:tblW w:w="9495" w:type="dxa"/>
        <w:jc w:val="center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27"/>
        <w:gridCol w:w="667"/>
        <w:gridCol w:w="4148"/>
        <w:gridCol w:w="1417"/>
        <w:gridCol w:w="3210"/>
        <w:gridCol w:w="26"/>
      </w:tblGrid>
      <w:tr w:rsidR="00092E26">
        <w:trPr>
          <w:jc w:val="center"/>
        </w:trPr>
        <w:tc>
          <w:tcPr>
            <w:tcW w:w="19" w:type="dxa"/>
          </w:tcPr>
          <w:p w:rsidR="00092E26" w:rsidRDefault="00092E26">
            <w:pPr>
              <w:pStyle w:val="Listapunktowana3"/>
              <w:ind w:left="0" w:firstLine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476" w:type="dxa"/>
            <w:gridSpan w:val="5"/>
            <w:tcBorders>
              <w:top w:val="single" w:sz="2" w:space="0" w:color="000001"/>
              <w:left w:val="single" w:sz="2" w:space="0" w:color="000001"/>
              <w:bottom w:val="single" w:sz="4" w:space="0" w:color="00000A"/>
              <w:right w:val="single" w:sz="2" w:space="0" w:color="000001"/>
            </w:tcBorders>
            <w:tcMar>
              <w:top w:w="55" w:type="dxa"/>
              <w:left w:w="46" w:type="dxa"/>
              <w:bottom w:w="55" w:type="dxa"/>
              <w:right w:w="55" w:type="dxa"/>
            </w:tcMar>
          </w:tcPr>
          <w:p w:rsidR="00092E26" w:rsidRDefault="00092E26">
            <w:pPr>
              <w:pStyle w:val="Zawartotabeli"/>
              <w:spacing w:line="252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092E26">
        <w:trPr>
          <w:jc w:val="center"/>
        </w:trPr>
        <w:tc>
          <w:tcPr>
            <w:tcW w:w="19" w:type="dxa"/>
          </w:tcPr>
          <w:p w:rsidR="00092E26" w:rsidRDefault="00092E26"/>
        </w:tc>
        <w:tc>
          <w:tcPr>
            <w:tcW w:w="9476" w:type="dxa"/>
            <w:gridSpan w:val="5"/>
            <w:tcBorders>
              <w:top w:val="single" w:sz="4" w:space="0" w:color="00000A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46" w:type="dxa"/>
              <w:bottom w:w="55" w:type="dxa"/>
              <w:right w:w="55" w:type="dxa"/>
            </w:tcMar>
          </w:tcPr>
          <w:p w:rsidR="00092E26" w:rsidRDefault="00092E26">
            <w:pPr>
              <w:pStyle w:val="Zawartotabeli"/>
              <w:spacing w:line="252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Model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aparatu</w:t>
            </w:r>
            <w:proofErr w:type="spellEnd"/>
          </w:p>
        </w:tc>
      </w:tr>
      <w:tr w:rsidR="00092E26">
        <w:trPr>
          <w:jc w:val="center"/>
        </w:trPr>
        <w:tc>
          <w:tcPr>
            <w:tcW w:w="19" w:type="dxa"/>
          </w:tcPr>
          <w:p w:rsidR="00092E26" w:rsidRDefault="00092E26"/>
        </w:tc>
        <w:tc>
          <w:tcPr>
            <w:tcW w:w="668" w:type="dxa"/>
            <w:tcBorders>
              <w:top w:val="single" w:sz="2" w:space="0" w:color="000001"/>
              <w:left w:val="single" w:sz="2" w:space="0" w:color="000001"/>
              <w:bottom w:val="single" w:sz="4" w:space="0" w:color="00000A"/>
            </w:tcBorders>
            <w:tcMar>
              <w:top w:w="55" w:type="dxa"/>
              <w:left w:w="46" w:type="dxa"/>
              <w:bottom w:w="55" w:type="dxa"/>
              <w:right w:w="55" w:type="dxa"/>
            </w:tcMar>
          </w:tcPr>
          <w:p w:rsidR="00092E26" w:rsidRDefault="00092E26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155" w:type="dxa"/>
            <w:tcBorders>
              <w:top w:val="single" w:sz="2" w:space="0" w:color="000001"/>
              <w:left w:val="single" w:sz="2" w:space="0" w:color="000001"/>
              <w:bottom w:val="single" w:sz="4" w:space="0" w:color="00000A"/>
              <w:right w:val="single" w:sz="2" w:space="0" w:color="000001"/>
            </w:tcBorders>
            <w:tcMar>
              <w:top w:w="55" w:type="dxa"/>
              <w:left w:w="46" w:type="dxa"/>
              <w:bottom w:w="55" w:type="dxa"/>
              <w:right w:w="55" w:type="dxa"/>
            </w:tcMar>
          </w:tcPr>
          <w:p w:rsidR="00092E26" w:rsidRDefault="00092E26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4" w:space="0" w:color="00000A"/>
              <w:right w:val="single" w:sz="2" w:space="0" w:color="000001"/>
            </w:tcBorders>
            <w:tcMar>
              <w:left w:w="1" w:type="dxa"/>
            </w:tcMar>
            <w:vAlign w:val="center"/>
          </w:tcPr>
          <w:p w:rsidR="00092E26" w:rsidRDefault="00092E26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Wartość wymagana</w:t>
            </w:r>
          </w:p>
          <w:p w:rsidR="00092E26" w:rsidRDefault="00092E26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3235" w:type="dxa"/>
            <w:gridSpan w:val="2"/>
            <w:tcBorders>
              <w:top w:val="single" w:sz="2" w:space="0" w:color="000001"/>
              <w:left w:val="single" w:sz="2" w:space="0" w:color="000001"/>
              <w:bottom w:val="single" w:sz="4" w:space="0" w:color="00000A"/>
              <w:right w:val="single" w:sz="2" w:space="0" w:color="000001"/>
            </w:tcBorders>
            <w:tcMar>
              <w:left w:w="1" w:type="dxa"/>
            </w:tcMar>
          </w:tcPr>
          <w:p w:rsidR="00092E26" w:rsidRDefault="00092E26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Wartość oferowana. Potwierdzenie parametru.</w:t>
            </w:r>
          </w:p>
        </w:tc>
      </w:tr>
      <w:tr w:rsidR="00092E26">
        <w:trPr>
          <w:jc w:val="center"/>
        </w:trPr>
        <w:tc>
          <w:tcPr>
            <w:tcW w:w="19" w:type="dxa"/>
          </w:tcPr>
          <w:p w:rsidR="00092E26" w:rsidRDefault="00092E26"/>
        </w:tc>
        <w:tc>
          <w:tcPr>
            <w:tcW w:w="6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5" w:type="dxa"/>
              <w:left w:w="40" w:type="dxa"/>
              <w:bottom w:w="55" w:type="dxa"/>
              <w:right w:w="55" w:type="dxa"/>
            </w:tcMar>
          </w:tcPr>
          <w:p w:rsidR="00092E26" w:rsidRDefault="00092E26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155" w:type="dxa"/>
            <w:tcBorders>
              <w:top w:val="single" w:sz="4" w:space="0" w:color="00000A"/>
              <w:bottom w:val="single" w:sz="4" w:space="0" w:color="00000A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92E26" w:rsidRDefault="00092E26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Parametry ogólne</w:t>
            </w:r>
          </w:p>
        </w:tc>
        <w:tc>
          <w:tcPr>
            <w:tcW w:w="1418" w:type="dxa"/>
            <w:tcBorders>
              <w:top w:val="single" w:sz="4" w:space="0" w:color="00000A"/>
              <w:bottom w:val="single" w:sz="4" w:space="0" w:color="00000A"/>
            </w:tcBorders>
            <w:vAlign w:val="center"/>
          </w:tcPr>
          <w:p w:rsidR="00092E26" w:rsidRDefault="00092E26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3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0" w:type="dxa"/>
            </w:tcMar>
          </w:tcPr>
          <w:p w:rsidR="00092E26" w:rsidRDefault="00092E26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92E26">
        <w:trPr>
          <w:jc w:val="center"/>
        </w:trPr>
        <w:tc>
          <w:tcPr>
            <w:tcW w:w="19" w:type="dxa"/>
          </w:tcPr>
          <w:p w:rsidR="00092E26" w:rsidRDefault="00092E26"/>
        </w:tc>
        <w:tc>
          <w:tcPr>
            <w:tcW w:w="668" w:type="dxa"/>
            <w:tcBorders>
              <w:top w:val="single" w:sz="4" w:space="0" w:color="00000A"/>
              <w:left w:val="single" w:sz="2" w:space="0" w:color="000001"/>
              <w:bottom w:val="single" w:sz="2" w:space="0" w:color="000001"/>
            </w:tcBorders>
            <w:tcMar>
              <w:top w:w="55" w:type="dxa"/>
              <w:left w:w="46" w:type="dxa"/>
              <w:bottom w:w="55" w:type="dxa"/>
              <w:right w:w="55" w:type="dxa"/>
            </w:tcMar>
          </w:tcPr>
          <w:p w:rsidR="00092E26" w:rsidRDefault="00092E26">
            <w:pPr>
              <w:pStyle w:val="Zawartotabeli"/>
              <w:spacing w:line="252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4155" w:type="dxa"/>
            <w:tcBorders>
              <w:top w:val="single" w:sz="4" w:space="0" w:color="00000A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46" w:type="dxa"/>
              <w:bottom w:w="55" w:type="dxa"/>
              <w:right w:w="55" w:type="dxa"/>
            </w:tcMar>
          </w:tcPr>
          <w:p w:rsidR="00092E26" w:rsidRDefault="00092E26">
            <w:pPr>
              <w:pStyle w:val="Zawartotabeli"/>
              <w:spacing w:line="252" w:lineRule="auto"/>
            </w:pPr>
            <w:r>
              <w:rPr>
                <w:rFonts w:ascii="Arial" w:hAnsi="Arial" w:cs="Arial"/>
                <w:bCs/>
                <w:sz w:val="20"/>
                <w:szCs w:val="20"/>
              </w:rPr>
              <w:t>Aparat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do posiewu krwi i płynów ustrojowych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nie starszy niż: rok produkcji </w:t>
            </w:r>
            <w:r w:rsidRPr="00422CA5">
              <w:rPr>
                <w:rFonts w:ascii="Arial" w:hAnsi="Arial" w:cs="Arial"/>
                <w:bCs/>
                <w:color w:val="auto"/>
                <w:sz w:val="20"/>
                <w:szCs w:val="20"/>
              </w:rPr>
              <w:t xml:space="preserve">2013 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1" w:type="dxa"/>
            </w:tcMar>
            <w:vAlign w:val="center"/>
          </w:tcPr>
          <w:p w:rsidR="00092E26" w:rsidRDefault="00092E26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  <w:r w:rsidR="00422CA5">
              <w:rPr>
                <w:rFonts w:ascii="Arial" w:hAnsi="Arial" w:cs="Arial"/>
                <w:bCs/>
                <w:sz w:val="20"/>
                <w:szCs w:val="20"/>
              </w:rPr>
              <w:t>/Podać</w:t>
            </w:r>
          </w:p>
        </w:tc>
        <w:tc>
          <w:tcPr>
            <w:tcW w:w="3235" w:type="dxa"/>
            <w:gridSpan w:val="2"/>
            <w:tcBorders>
              <w:top w:val="single" w:sz="4" w:space="0" w:color="00000A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1" w:type="dxa"/>
            </w:tcMar>
          </w:tcPr>
          <w:p w:rsidR="00092E26" w:rsidRDefault="00092E26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092E26">
        <w:trPr>
          <w:trHeight w:val="631"/>
          <w:jc w:val="center"/>
        </w:trPr>
        <w:tc>
          <w:tcPr>
            <w:tcW w:w="19" w:type="dxa"/>
          </w:tcPr>
          <w:p w:rsidR="00092E26" w:rsidRDefault="00092E26"/>
        </w:tc>
        <w:tc>
          <w:tcPr>
            <w:tcW w:w="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top w:w="55" w:type="dxa"/>
              <w:left w:w="46" w:type="dxa"/>
              <w:bottom w:w="55" w:type="dxa"/>
              <w:right w:w="55" w:type="dxa"/>
            </w:tcMar>
          </w:tcPr>
          <w:p w:rsidR="00092E26" w:rsidRDefault="00092E2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1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46" w:type="dxa"/>
              <w:bottom w:w="55" w:type="dxa"/>
              <w:right w:w="55" w:type="dxa"/>
            </w:tcMar>
          </w:tcPr>
          <w:p w:rsidR="00092E26" w:rsidRPr="00422CA5" w:rsidRDefault="00092E26">
            <w:pPr>
              <w:rPr>
                <w:b/>
                <w:bCs/>
                <w:color w:val="auto"/>
              </w:rPr>
            </w:pPr>
            <w:r w:rsidRPr="00422CA5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Od 50 do 60 miejsc inkubacyjno-pomiarowych w aparacie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1" w:type="dxa"/>
            </w:tcMar>
          </w:tcPr>
          <w:p w:rsidR="00092E26" w:rsidRDefault="00092E2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  <w:r w:rsidR="00422CA5">
              <w:rPr>
                <w:rFonts w:ascii="Arial" w:hAnsi="Arial" w:cs="Arial"/>
                <w:sz w:val="20"/>
                <w:szCs w:val="20"/>
              </w:rPr>
              <w:t>/Podać</w:t>
            </w:r>
          </w:p>
        </w:tc>
        <w:tc>
          <w:tcPr>
            <w:tcW w:w="323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1" w:type="dxa"/>
            </w:tcMar>
            <w:vAlign w:val="center"/>
          </w:tcPr>
          <w:p w:rsidR="00092E26" w:rsidRDefault="00092E26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092E26">
        <w:trPr>
          <w:jc w:val="center"/>
        </w:trPr>
        <w:tc>
          <w:tcPr>
            <w:tcW w:w="19" w:type="dxa"/>
          </w:tcPr>
          <w:p w:rsidR="00092E26" w:rsidRDefault="00092E26"/>
        </w:tc>
        <w:tc>
          <w:tcPr>
            <w:tcW w:w="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top w:w="55" w:type="dxa"/>
              <w:left w:w="46" w:type="dxa"/>
              <w:bottom w:w="55" w:type="dxa"/>
              <w:right w:w="55" w:type="dxa"/>
            </w:tcMar>
          </w:tcPr>
          <w:p w:rsidR="00092E26" w:rsidRDefault="00092E2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41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46" w:type="dxa"/>
              <w:bottom w:w="55" w:type="dxa"/>
              <w:right w:w="55" w:type="dxa"/>
            </w:tcMar>
          </w:tcPr>
          <w:p w:rsidR="00092E26" w:rsidRDefault="00092E26">
            <w:pPr>
              <w:pStyle w:val="Bezodstpw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Wprowadzenie badanych próbek do aparatu czytnikiem kodów paskowych, dostępna opcja wprowadzania butelek z uszkodzonym kodem kreskowym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1" w:type="dxa"/>
            </w:tcMar>
          </w:tcPr>
          <w:p w:rsidR="00092E26" w:rsidRDefault="00092E2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1" w:type="dxa"/>
            </w:tcMar>
            <w:vAlign w:val="center"/>
          </w:tcPr>
          <w:p w:rsidR="00092E26" w:rsidRDefault="00092E26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092E26">
        <w:trPr>
          <w:jc w:val="center"/>
        </w:trPr>
        <w:tc>
          <w:tcPr>
            <w:tcW w:w="19" w:type="dxa"/>
          </w:tcPr>
          <w:p w:rsidR="00092E26" w:rsidRDefault="00092E26"/>
        </w:tc>
        <w:tc>
          <w:tcPr>
            <w:tcW w:w="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top w:w="55" w:type="dxa"/>
              <w:left w:w="46" w:type="dxa"/>
              <w:bottom w:w="55" w:type="dxa"/>
              <w:right w:w="55" w:type="dxa"/>
            </w:tcMar>
          </w:tcPr>
          <w:p w:rsidR="00092E26" w:rsidRDefault="00092E2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41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46" w:type="dxa"/>
              <w:bottom w:w="55" w:type="dxa"/>
              <w:right w:w="55" w:type="dxa"/>
            </w:tcMar>
          </w:tcPr>
          <w:p w:rsidR="00092E26" w:rsidRDefault="00092E26">
            <w:pPr>
              <w:pStyle w:val="Bezodstpw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Natychmiastowa sygnalizacja próby dodatniej sygnałem dźwiękowym i świetlnym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1" w:type="dxa"/>
            </w:tcMar>
          </w:tcPr>
          <w:p w:rsidR="00092E26" w:rsidRDefault="00092E2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1" w:type="dxa"/>
            </w:tcMar>
            <w:vAlign w:val="center"/>
          </w:tcPr>
          <w:p w:rsidR="00092E26" w:rsidRDefault="00092E26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092E26">
        <w:trPr>
          <w:trHeight w:val="552"/>
          <w:jc w:val="center"/>
        </w:trPr>
        <w:tc>
          <w:tcPr>
            <w:tcW w:w="19" w:type="dxa"/>
          </w:tcPr>
          <w:p w:rsidR="00092E26" w:rsidRDefault="00092E26"/>
        </w:tc>
        <w:tc>
          <w:tcPr>
            <w:tcW w:w="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top w:w="55" w:type="dxa"/>
              <w:left w:w="46" w:type="dxa"/>
              <w:bottom w:w="55" w:type="dxa"/>
              <w:right w:w="55" w:type="dxa"/>
            </w:tcMar>
          </w:tcPr>
          <w:p w:rsidR="00092E26" w:rsidRDefault="00092E2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41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46" w:type="dxa"/>
              <w:bottom w:w="55" w:type="dxa"/>
              <w:right w:w="55" w:type="dxa"/>
            </w:tcMar>
          </w:tcPr>
          <w:p w:rsidR="00092E26" w:rsidRDefault="00092E2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Zmiana czasu inkubacji na życzenie operatora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1" w:type="dxa"/>
            </w:tcMar>
          </w:tcPr>
          <w:p w:rsidR="00092E26" w:rsidRDefault="00092E2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1" w:type="dxa"/>
            </w:tcMar>
            <w:vAlign w:val="center"/>
          </w:tcPr>
          <w:p w:rsidR="00092E26" w:rsidRDefault="00092E26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092E26">
        <w:trPr>
          <w:jc w:val="center"/>
        </w:trPr>
        <w:tc>
          <w:tcPr>
            <w:tcW w:w="19" w:type="dxa"/>
          </w:tcPr>
          <w:p w:rsidR="00092E26" w:rsidRDefault="00092E26"/>
        </w:tc>
        <w:tc>
          <w:tcPr>
            <w:tcW w:w="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top w:w="55" w:type="dxa"/>
              <w:left w:w="46" w:type="dxa"/>
              <w:bottom w:w="55" w:type="dxa"/>
              <w:right w:w="55" w:type="dxa"/>
            </w:tcMar>
          </w:tcPr>
          <w:p w:rsidR="00092E26" w:rsidRDefault="00092E2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6.</w:t>
            </w:r>
          </w:p>
        </w:tc>
        <w:tc>
          <w:tcPr>
            <w:tcW w:w="41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46" w:type="dxa"/>
              <w:bottom w:w="55" w:type="dxa"/>
              <w:right w:w="55" w:type="dxa"/>
            </w:tcMar>
          </w:tcPr>
          <w:p w:rsidR="00092E26" w:rsidRDefault="00092E2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Niewymagający codziennej obsługi konserwacyjnej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1" w:type="dxa"/>
            </w:tcMar>
          </w:tcPr>
          <w:p w:rsidR="00092E26" w:rsidRDefault="00092E2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1" w:type="dxa"/>
            </w:tcMar>
            <w:vAlign w:val="center"/>
          </w:tcPr>
          <w:p w:rsidR="00092E26" w:rsidRDefault="00092E26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092E26">
        <w:trPr>
          <w:trHeight w:val="549"/>
          <w:jc w:val="center"/>
        </w:trPr>
        <w:tc>
          <w:tcPr>
            <w:tcW w:w="19" w:type="dxa"/>
          </w:tcPr>
          <w:p w:rsidR="00092E26" w:rsidRDefault="00092E26"/>
        </w:tc>
        <w:tc>
          <w:tcPr>
            <w:tcW w:w="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top w:w="55" w:type="dxa"/>
              <w:left w:w="46" w:type="dxa"/>
              <w:bottom w:w="55" w:type="dxa"/>
              <w:right w:w="55" w:type="dxa"/>
            </w:tcMar>
          </w:tcPr>
          <w:p w:rsidR="00092E26" w:rsidRDefault="00092E2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7.</w:t>
            </w:r>
          </w:p>
        </w:tc>
        <w:tc>
          <w:tcPr>
            <w:tcW w:w="41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46" w:type="dxa"/>
              <w:bottom w:w="55" w:type="dxa"/>
              <w:right w:w="55" w:type="dxa"/>
            </w:tcMar>
          </w:tcPr>
          <w:p w:rsidR="00092E26" w:rsidRDefault="00092E2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Gotowość do pracy 24/24 godziny natychmiastowa bez konieczności wykonania start up.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1" w:type="dxa"/>
            </w:tcMar>
          </w:tcPr>
          <w:p w:rsidR="00092E26" w:rsidRDefault="00092E2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1" w:type="dxa"/>
            </w:tcMar>
            <w:vAlign w:val="center"/>
          </w:tcPr>
          <w:p w:rsidR="00092E26" w:rsidRDefault="00092E26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092E26">
        <w:trPr>
          <w:jc w:val="center"/>
        </w:trPr>
        <w:tc>
          <w:tcPr>
            <w:tcW w:w="19" w:type="dxa"/>
          </w:tcPr>
          <w:p w:rsidR="00092E26" w:rsidRDefault="00092E26"/>
        </w:tc>
        <w:tc>
          <w:tcPr>
            <w:tcW w:w="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top w:w="55" w:type="dxa"/>
              <w:left w:w="46" w:type="dxa"/>
              <w:bottom w:w="55" w:type="dxa"/>
              <w:right w:w="55" w:type="dxa"/>
            </w:tcMar>
          </w:tcPr>
          <w:p w:rsidR="00092E26" w:rsidRDefault="00092E2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8.</w:t>
            </w:r>
          </w:p>
        </w:tc>
        <w:tc>
          <w:tcPr>
            <w:tcW w:w="41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46" w:type="dxa"/>
              <w:bottom w:w="55" w:type="dxa"/>
              <w:right w:w="55" w:type="dxa"/>
            </w:tcMar>
          </w:tcPr>
          <w:p w:rsidR="00092E26" w:rsidRDefault="00092E2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Dostępne podłoża do hodowli bakterii tlenowych i beztlenowych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1" w:type="dxa"/>
            </w:tcMar>
          </w:tcPr>
          <w:p w:rsidR="00092E26" w:rsidRDefault="00092E2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1" w:type="dxa"/>
            </w:tcMar>
          </w:tcPr>
          <w:p w:rsidR="00092E26" w:rsidRDefault="00092E26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092E26">
        <w:trPr>
          <w:jc w:val="center"/>
        </w:trPr>
        <w:tc>
          <w:tcPr>
            <w:tcW w:w="19" w:type="dxa"/>
          </w:tcPr>
          <w:p w:rsidR="00092E26" w:rsidRDefault="00092E26"/>
        </w:tc>
        <w:tc>
          <w:tcPr>
            <w:tcW w:w="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top w:w="55" w:type="dxa"/>
              <w:left w:w="46" w:type="dxa"/>
              <w:bottom w:w="55" w:type="dxa"/>
              <w:right w:w="55" w:type="dxa"/>
            </w:tcMar>
          </w:tcPr>
          <w:p w:rsidR="00092E26" w:rsidRDefault="00092E2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41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46" w:type="dxa"/>
              <w:bottom w:w="55" w:type="dxa"/>
              <w:right w:w="55" w:type="dxa"/>
            </w:tcMar>
          </w:tcPr>
          <w:p w:rsidR="00092E26" w:rsidRDefault="00092E2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Dostępne podłoża do hodowli drobnoustrojów w próbkach pacjentów poddanych antybiotykoterapii – podłoża z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inhibotorem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stosowanych antybiotyków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1" w:type="dxa"/>
            </w:tcMar>
          </w:tcPr>
          <w:p w:rsidR="00092E26" w:rsidRDefault="00092E2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1" w:type="dxa"/>
            </w:tcMar>
          </w:tcPr>
          <w:p w:rsidR="00092E26" w:rsidRDefault="00092E26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092E26">
        <w:trPr>
          <w:jc w:val="center"/>
        </w:trPr>
        <w:tc>
          <w:tcPr>
            <w:tcW w:w="19" w:type="dxa"/>
          </w:tcPr>
          <w:p w:rsidR="00092E26" w:rsidRDefault="00092E26"/>
        </w:tc>
        <w:tc>
          <w:tcPr>
            <w:tcW w:w="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top w:w="55" w:type="dxa"/>
              <w:left w:w="46" w:type="dxa"/>
              <w:bottom w:w="55" w:type="dxa"/>
              <w:right w:w="55" w:type="dxa"/>
            </w:tcMar>
          </w:tcPr>
          <w:p w:rsidR="00092E26" w:rsidRDefault="00092E2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10.</w:t>
            </w:r>
          </w:p>
        </w:tc>
        <w:tc>
          <w:tcPr>
            <w:tcW w:w="41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46" w:type="dxa"/>
              <w:bottom w:w="55" w:type="dxa"/>
              <w:right w:w="55" w:type="dxa"/>
            </w:tcMar>
          </w:tcPr>
          <w:p w:rsidR="00092E26" w:rsidRDefault="00092E2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Dostępne podłoża do hodowli drobnoustrojów w próbkach pediatrycznych oraz płynie mózgowo-rdzeniowym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1" w:type="dxa"/>
            </w:tcMar>
          </w:tcPr>
          <w:p w:rsidR="00092E26" w:rsidRDefault="00092E2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1" w:type="dxa"/>
            </w:tcMar>
          </w:tcPr>
          <w:p w:rsidR="00092E26" w:rsidRDefault="00092E26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092E26">
        <w:trPr>
          <w:jc w:val="center"/>
        </w:trPr>
        <w:tc>
          <w:tcPr>
            <w:tcW w:w="19" w:type="dxa"/>
          </w:tcPr>
          <w:p w:rsidR="00092E26" w:rsidRDefault="00092E26"/>
        </w:tc>
        <w:tc>
          <w:tcPr>
            <w:tcW w:w="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top w:w="55" w:type="dxa"/>
              <w:left w:w="46" w:type="dxa"/>
              <w:bottom w:w="55" w:type="dxa"/>
              <w:right w:w="55" w:type="dxa"/>
            </w:tcMar>
          </w:tcPr>
          <w:p w:rsidR="00092E26" w:rsidRDefault="00092E2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11.</w:t>
            </w:r>
          </w:p>
        </w:tc>
        <w:tc>
          <w:tcPr>
            <w:tcW w:w="41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46" w:type="dxa"/>
              <w:bottom w:w="55" w:type="dxa"/>
              <w:right w:w="55" w:type="dxa"/>
            </w:tcMar>
          </w:tcPr>
          <w:p w:rsidR="00092E26" w:rsidRDefault="00092E26">
            <w:pPr>
              <w:pStyle w:val="Bezodstpw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Dostępne podłoża do hodowli i detekcji drobnoustrojów </w:t>
            </w:r>
            <w:proofErr w:type="spellStart"/>
            <w:r>
              <w:rPr>
                <w:rFonts w:ascii="Arial" w:hAnsi="Arial" w:cs="Arial"/>
                <w:sz w:val="20"/>
              </w:rPr>
              <w:t>sfagocytowanych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– drobnoustrojów beztlenowych z czynnikiem lizującym umożliwiającym uwolnienie drobnoustrojów z leukocytów oraz neutralizujących wpływ elementów morfotycznych krwi na wyniki fałszywie </w:t>
            </w:r>
            <w:r>
              <w:rPr>
                <w:rFonts w:ascii="Arial" w:hAnsi="Arial" w:cs="Arial"/>
                <w:sz w:val="20"/>
              </w:rPr>
              <w:lastRenderedPageBreak/>
              <w:t>dodatnie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1" w:type="dxa"/>
            </w:tcMar>
          </w:tcPr>
          <w:p w:rsidR="00092E26" w:rsidRDefault="00092E2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Tak</w:t>
            </w:r>
          </w:p>
        </w:tc>
        <w:tc>
          <w:tcPr>
            <w:tcW w:w="323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1" w:type="dxa"/>
            </w:tcMar>
          </w:tcPr>
          <w:p w:rsidR="00092E26" w:rsidRDefault="00092E26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092E26">
        <w:trPr>
          <w:jc w:val="center"/>
        </w:trPr>
        <w:tc>
          <w:tcPr>
            <w:tcW w:w="19" w:type="dxa"/>
          </w:tcPr>
          <w:p w:rsidR="00092E26" w:rsidRDefault="00092E26"/>
        </w:tc>
        <w:tc>
          <w:tcPr>
            <w:tcW w:w="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top w:w="55" w:type="dxa"/>
              <w:left w:w="46" w:type="dxa"/>
              <w:bottom w:w="55" w:type="dxa"/>
              <w:right w:w="55" w:type="dxa"/>
            </w:tcMar>
          </w:tcPr>
          <w:p w:rsidR="00092E26" w:rsidRDefault="00092E2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12.</w:t>
            </w:r>
          </w:p>
        </w:tc>
        <w:tc>
          <w:tcPr>
            <w:tcW w:w="41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46" w:type="dxa"/>
              <w:bottom w:w="55" w:type="dxa"/>
              <w:right w:w="55" w:type="dxa"/>
            </w:tcMar>
          </w:tcPr>
          <w:p w:rsidR="00092E26" w:rsidRDefault="00092E26">
            <w:pPr>
              <w:pStyle w:val="Bezodstpw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Możliwość hodowli drożdżaków i grzybów na wybiórczych selektywnych podłożach z antybiotykami hamującymi wzrost bakterii, zminimalizowanie czasu hodowli tych drobnoustrojów ( do 44 </w:t>
            </w:r>
            <w:proofErr w:type="gramStart"/>
            <w:r>
              <w:rPr>
                <w:rFonts w:ascii="Arial" w:hAnsi="Arial" w:cs="Arial"/>
                <w:sz w:val="20"/>
              </w:rPr>
              <w:t>godzin ) -</w:t>
            </w:r>
            <w:proofErr w:type="gram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1" w:type="dxa"/>
            </w:tcMar>
          </w:tcPr>
          <w:p w:rsidR="00092E26" w:rsidRDefault="00092E2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3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1" w:type="dxa"/>
            </w:tcMar>
          </w:tcPr>
          <w:p w:rsidR="00092E26" w:rsidRDefault="00092E26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092E26">
        <w:trPr>
          <w:trHeight w:val="494"/>
          <w:jc w:val="center"/>
        </w:trPr>
        <w:tc>
          <w:tcPr>
            <w:tcW w:w="19" w:type="dxa"/>
          </w:tcPr>
          <w:p w:rsidR="00092E26" w:rsidRDefault="00092E26"/>
        </w:tc>
        <w:tc>
          <w:tcPr>
            <w:tcW w:w="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top w:w="55" w:type="dxa"/>
              <w:left w:w="46" w:type="dxa"/>
              <w:bottom w:w="55" w:type="dxa"/>
              <w:right w:w="55" w:type="dxa"/>
            </w:tcMar>
          </w:tcPr>
          <w:p w:rsidR="00092E26" w:rsidRDefault="00092E2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13.</w:t>
            </w:r>
          </w:p>
        </w:tc>
        <w:tc>
          <w:tcPr>
            <w:tcW w:w="41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46" w:type="dxa"/>
              <w:bottom w:w="55" w:type="dxa"/>
              <w:right w:w="55" w:type="dxa"/>
            </w:tcMar>
          </w:tcPr>
          <w:p w:rsidR="00092E26" w:rsidRDefault="00092E2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Podłoża stosowane do próżniowego pobierania krwi bezpośrednio do butelek za pomocą specjalnych zestawów ( uchwyt+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wężyk+igł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motylkowa) – kompatybilność butelek z systemami próżniowymi pobierania krwi dostępnymi na rynku ( brak ko</w:t>
            </w:r>
            <w:r w:rsidR="00422CA5">
              <w:rPr>
                <w:rFonts w:ascii="Arial" w:hAnsi="Arial" w:cs="Arial"/>
                <w:sz w:val="20"/>
                <w:szCs w:val="20"/>
              </w:rPr>
              <w:t>nieczności stosowania adapterów</w:t>
            </w:r>
            <w:r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przekładek )</w:t>
            </w:r>
            <w:proofErr w:type="gram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1" w:type="dxa"/>
            </w:tcMar>
          </w:tcPr>
          <w:p w:rsidR="00092E26" w:rsidRDefault="00092E2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1" w:type="dxa"/>
            </w:tcMar>
          </w:tcPr>
          <w:p w:rsidR="00092E26" w:rsidRDefault="00092E26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092E26">
        <w:trPr>
          <w:jc w:val="center"/>
        </w:trPr>
        <w:tc>
          <w:tcPr>
            <w:tcW w:w="19" w:type="dxa"/>
          </w:tcPr>
          <w:p w:rsidR="00092E26" w:rsidRDefault="00092E26"/>
        </w:tc>
        <w:tc>
          <w:tcPr>
            <w:tcW w:w="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top w:w="55" w:type="dxa"/>
              <w:left w:w="46" w:type="dxa"/>
              <w:bottom w:w="55" w:type="dxa"/>
              <w:right w:w="55" w:type="dxa"/>
            </w:tcMar>
          </w:tcPr>
          <w:p w:rsidR="00092E26" w:rsidRDefault="00092E2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14.</w:t>
            </w:r>
          </w:p>
        </w:tc>
        <w:tc>
          <w:tcPr>
            <w:tcW w:w="41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46" w:type="dxa"/>
              <w:bottom w:w="55" w:type="dxa"/>
              <w:right w:w="55" w:type="dxa"/>
            </w:tcMar>
          </w:tcPr>
          <w:p w:rsidR="00092E26" w:rsidRDefault="00092E26">
            <w:pPr>
              <w:pStyle w:val="Bezodstpw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Możliwość wdrożenia procedury inokulacji testów do identyfikacji oraz oceny </w:t>
            </w:r>
            <w:proofErr w:type="spellStart"/>
            <w:r>
              <w:rPr>
                <w:rFonts w:ascii="Arial" w:hAnsi="Arial" w:cs="Arial"/>
                <w:sz w:val="20"/>
              </w:rPr>
              <w:t>lekowrażliwości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bezpośrednio z pozytywnych podłoży hodowlanych dołączyć procedurę producenta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1" w:type="dxa"/>
            </w:tcMar>
          </w:tcPr>
          <w:p w:rsidR="00092E26" w:rsidRDefault="00092E2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1" w:type="dxa"/>
            </w:tcMar>
          </w:tcPr>
          <w:p w:rsidR="00092E26" w:rsidRDefault="00092E26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092E26">
        <w:trPr>
          <w:jc w:val="center"/>
        </w:trPr>
        <w:tc>
          <w:tcPr>
            <w:tcW w:w="19" w:type="dxa"/>
          </w:tcPr>
          <w:p w:rsidR="00092E26" w:rsidRDefault="00092E26"/>
        </w:tc>
        <w:tc>
          <w:tcPr>
            <w:tcW w:w="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top w:w="55" w:type="dxa"/>
              <w:left w:w="46" w:type="dxa"/>
              <w:bottom w:w="55" w:type="dxa"/>
              <w:right w:w="55" w:type="dxa"/>
            </w:tcMar>
          </w:tcPr>
          <w:p w:rsidR="00092E26" w:rsidRDefault="00092E2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15.</w:t>
            </w:r>
          </w:p>
        </w:tc>
        <w:tc>
          <w:tcPr>
            <w:tcW w:w="41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46" w:type="dxa"/>
              <w:bottom w:w="55" w:type="dxa"/>
              <w:right w:w="55" w:type="dxa"/>
            </w:tcMar>
          </w:tcPr>
          <w:p w:rsidR="00092E26" w:rsidRDefault="00092E26">
            <w:pPr>
              <w:pStyle w:val="Bezodstpw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Podłoża do aparatu z możliwością przechowywania w temperaturze pokojowej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1" w:type="dxa"/>
            </w:tcMar>
          </w:tcPr>
          <w:p w:rsidR="00092E26" w:rsidRDefault="00092E2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1" w:type="dxa"/>
            </w:tcMar>
          </w:tcPr>
          <w:p w:rsidR="00092E26" w:rsidRDefault="00092E26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092E26">
        <w:trPr>
          <w:jc w:val="center"/>
        </w:trPr>
        <w:tc>
          <w:tcPr>
            <w:tcW w:w="19" w:type="dxa"/>
          </w:tcPr>
          <w:p w:rsidR="00092E26" w:rsidRDefault="00092E26"/>
        </w:tc>
        <w:tc>
          <w:tcPr>
            <w:tcW w:w="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top w:w="55" w:type="dxa"/>
              <w:left w:w="46" w:type="dxa"/>
              <w:bottom w:w="55" w:type="dxa"/>
              <w:right w:w="55" w:type="dxa"/>
            </w:tcMar>
          </w:tcPr>
          <w:p w:rsidR="00092E26" w:rsidRDefault="00092E2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16.</w:t>
            </w:r>
          </w:p>
        </w:tc>
        <w:tc>
          <w:tcPr>
            <w:tcW w:w="41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46" w:type="dxa"/>
              <w:bottom w:w="55" w:type="dxa"/>
              <w:right w:w="55" w:type="dxa"/>
            </w:tcMar>
          </w:tcPr>
          <w:p w:rsidR="00092E26" w:rsidRDefault="00092E2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Aparat wyposażony w UPS stabilizujący oraz utrzymujący napięcie w przypadku awarii sieci energetycznej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1" w:type="dxa"/>
            </w:tcMar>
          </w:tcPr>
          <w:p w:rsidR="00092E26" w:rsidRDefault="00092E2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Tak </w:t>
            </w:r>
          </w:p>
        </w:tc>
        <w:tc>
          <w:tcPr>
            <w:tcW w:w="323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1" w:type="dxa"/>
            </w:tcMar>
            <w:vAlign w:val="center"/>
          </w:tcPr>
          <w:p w:rsidR="00092E26" w:rsidRDefault="00092E26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092E26">
        <w:trPr>
          <w:jc w:val="center"/>
        </w:trPr>
        <w:tc>
          <w:tcPr>
            <w:tcW w:w="19" w:type="dxa"/>
          </w:tcPr>
          <w:p w:rsidR="00092E26" w:rsidRDefault="00092E26"/>
        </w:tc>
        <w:tc>
          <w:tcPr>
            <w:tcW w:w="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top w:w="55" w:type="dxa"/>
              <w:left w:w="46" w:type="dxa"/>
              <w:bottom w:w="55" w:type="dxa"/>
              <w:right w:w="55" w:type="dxa"/>
            </w:tcMar>
          </w:tcPr>
          <w:p w:rsidR="00092E26" w:rsidRDefault="00092E2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17.</w:t>
            </w:r>
          </w:p>
        </w:tc>
        <w:tc>
          <w:tcPr>
            <w:tcW w:w="41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46" w:type="dxa"/>
              <w:bottom w:w="55" w:type="dxa"/>
              <w:right w:w="55" w:type="dxa"/>
            </w:tcMar>
          </w:tcPr>
          <w:p w:rsidR="00092E26" w:rsidRDefault="00092E26" w:rsidP="00422CA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Jeżeli aparat </w:t>
            </w:r>
            <w:r w:rsidR="00422CA5">
              <w:rPr>
                <w:rFonts w:ascii="Arial" w:hAnsi="Arial" w:cs="Arial"/>
                <w:sz w:val="20"/>
                <w:szCs w:val="20"/>
              </w:rPr>
              <w:t xml:space="preserve">jest </w:t>
            </w:r>
            <w:bookmarkStart w:id="0" w:name="_GoBack"/>
            <w:bookmarkEnd w:id="0"/>
            <w:r>
              <w:rPr>
                <w:rFonts w:ascii="Arial" w:hAnsi="Arial" w:cs="Arial"/>
                <w:sz w:val="20"/>
                <w:szCs w:val="20"/>
              </w:rPr>
              <w:t xml:space="preserve">wolnostojący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wykonawaca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mu</w:t>
            </w:r>
            <w:r w:rsidR="00422CA5">
              <w:rPr>
                <w:rFonts w:ascii="Arial" w:hAnsi="Arial" w:cs="Arial"/>
                <w:sz w:val="20"/>
                <w:szCs w:val="20"/>
              </w:rPr>
              <w:t>s</w:t>
            </w:r>
            <w:r>
              <w:rPr>
                <w:rFonts w:ascii="Arial" w:hAnsi="Arial" w:cs="Arial"/>
                <w:sz w:val="20"/>
                <w:szCs w:val="20"/>
              </w:rPr>
              <w:t>i zapewnić stół lub odpowiednie umocowanie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1" w:type="dxa"/>
            </w:tcMar>
          </w:tcPr>
          <w:p w:rsidR="00092E26" w:rsidRDefault="00092E2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tak</w:t>
            </w:r>
            <w:proofErr w:type="gramEnd"/>
          </w:p>
        </w:tc>
        <w:tc>
          <w:tcPr>
            <w:tcW w:w="323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1" w:type="dxa"/>
            </w:tcMar>
            <w:vAlign w:val="center"/>
          </w:tcPr>
          <w:p w:rsidR="00092E26" w:rsidRDefault="00092E26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092E26">
        <w:trPr>
          <w:jc w:val="center"/>
        </w:trPr>
        <w:tc>
          <w:tcPr>
            <w:tcW w:w="19" w:type="dxa"/>
          </w:tcPr>
          <w:p w:rsidR="00092E26" w:rsidRDefault="00092E26"/>
        </w:tc>
        <w:tc>
          <w:tcPr>
            <w:tcW w:w="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tcMar>
              <w:top w:w="55" w:type="dxa"/>
              <w:left w:w="46" w:type="dxa"/>
              <w:bottom w:w="55" w:type="dxa"/>
              <w:right w:w="55" w:type="dxa"/>
            </w:tcMar>
          </w:tcPr>
          <w:p w:rsidR="00092E26" w:rsidRDefault="00092E2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18.</w:t>
            </w:r>
          </w:p>
        </w:tc>
        <w:tc>
          <w:tcPr>
            <w:tcW w:w="41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46" w:type="dxa"/>
              <w:bottom w:w="55" w:type="dxa"/>
              <w:right w:w="55" w:type="dxa"/>
            </w:tcMar>
          </w:tcPr>
          <w:p w:rsidR="00092E26" w:rsidRDefault="00092E2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Możliwość wykonania preparatu bezpośredniego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barwinego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met. Grama z hodowli dodatnich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1" w:type="dxa"/>
            </w:tcMar>
          </w:tcPr>
          <w:p w:rsidR="00092E26" w:rsidRDefault="00092E2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1" w:type="dxa"/>
            </w:tcMar>
            <w:vAlign w:val="center"/>
          </w:tcPr>
          <w:p w:rsidR="00092E26" w:rsidRDefault="00092E26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092E26">
        <w:trPr>
          <w:trHeight w:val="284"/>
          <w:jc w:val="center"/>
        </w:trPr>
        <w:tc>
          <w:tcPr>
            <w:tcW w:w="9475" w:type="dxa"/>
            <w:gridSpan w:val="5"/>
            <w:tcBorders>
              <w:top w:val="double" w:sz="4" w:space="0" w:color="00000A"/>
              <w:left w:val="double" w:sz="4" w:space="0" w:color="00000A"/>
              <w:bottom w:val="double" w:sz="4" w:space="0" w:color="00000A"/>
              <w:right w:val="double" w:sz="4" w:space="0" w:color="00000A"/>
            </w:tcBorders>
            <w:tcMar>
              <w:left w:w="-15" w:type="dxa"/>
            </w:tcMar>
            <w:vAlign w:val="center"/>
          </w:tcPr>
          <w:p w:rsidR="00092E26" w:rsidRDefault="00092E26">
            <w:pPr>
              <w:spacing w:line="252" w:lineRule="auto"/>
              <w:rPr>
                <w:rFonts w:ascii="Arial" w:hAnsi="Arial" w:cs="Arial"/>
                <w:b/>
                <w:color w:val="FF0000"/>
                <w:kern w:val="2"/>
                <w:sz w:val="20"/>
                <w:szCs w:val="20"/>
                <w:highlight w:val="yellow"/>
              </w:rPr>
            </w:pPr>
          </w:p>
          <w:p w:rsidR="00092E26" w:rsidRDefault="00092E26">
            <w:pPr>
              <w:spacing w:line="252" w:lineRule="auto"/>
              <w:jc w:val="center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b/>
                <w:sz w:val="20"/>
                <w:szCs w:val="20"/>
                <w:highlight w:val="yellow"/>
              </w:rPr>
              <w:t>WARUNKÓW GWARANCJI I SERWISU ORAZ SZKOLENIE</w:t>
            </w:r>
          </w:p>
          <w:p w:rsidR="00092E26" w:rsidRDefault="00092E26">
            <w:pPr>
              <w:spacing w:line="252" w:lineRule="auto"/>
              <w:jc w:val="center"/>
              <w:rPr>
                <w:rFonts w:ascii="Arial" w:hAnsi="Arial" w:cs="Arial"/>
                <w:b/>
                <w:color w:val="FF0000"/>
                <w:kern w:val="2"/>
                <w:sz w:val="20"/>
                <w:szCs w:val="20"/>
                <w:highlight w:val="yellow"/>
              </w:rPr>
            </w:pPr>
          </w:p>
        </w:tc>
        <w:tc>
          <w:tcPr>
            <w:tcW w:w="20" w:type="dxa"/>
          </w:tcPr>
          <w:p w:rsidR="00092E26" w:rsidRDefault="00092E26"/>
        </w:tc>
      </w:tr>
    </w:tbl>
    <w:p w:rsidR="00092E26" w:rsidRDefault="00092E26">
      <w:pPr>
        <w:pStyle w:val="Nagwek"/>
        <w:tabs>
          <w:tab w:val="left" w:pos="708"/>
        </w:tabs>
        <w:rPr>
          <w:rFonts w:ascii="Arial" w:hAnsi="Arial" w:cs="Arial"/>
          <w:b/>
          <w:sz w:val="20"/>
          <w:szCs w:val="20"/>
        </w:rPr>
      </w:pPr>
    </w:p>
    <w:tbl>
      <w:tblPr>
        <w:tblpPr w:leftFromText="141" w:rightFromText="141" w:vertAnchor="text" w:horzAnchor="margin" w:tblpX="-355" w:tblpY="-5"/>
        <w:tblW w:w="926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-5" w:type="dxa"/>
          <w:right w:w="0" w:type="dxa"/>
        </w:tblCellMar>
        <w:tblLook w:val="01E0" w:firstRow="1" w:lastRow="1" w:firstColumn="1" w:lastColumn="1" w:noHBand="0" w:noVBand="0"/>
      </w:tblPr>
      <w:tblGrid>
        <w:gridCol w:w="545"/>
        <w:gridCol w:w="4501"/>
        <w:gridCol w:w="799"/>
        <w:gridCol w:w="3417"/>
      </w:tblGrid>
      <w:tr w:rsidR="00092E26">
        <w:trPr>
          <w:trHeight w:val="229"/>
        </w:trPr>
        <w:tc>
          <w:tcPr>
            <w:tcW w:w="544" w:type="dxa"/>
            <w:tcMar>
              <w:left w:w="-5" w:type="dxa"/>
            </w:tcMar>
            <w:vAlign w:val="center"/>
          </w:tcPr>
          <w:p w:rsidR="00092E26" w:rsidRDefault="00092E26">
            <w:pPr>
              <w:suppressAutoHyphens/>
              <w:spacing w:line="252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1</w:t>
            </w:r>
          </w:p>
        </w:tc>
        <w:tc>
          <w:tcPr>
            <w:tcW w:w="4501" w:type="dxa"/>
            <w:tcMar>
              <w:left w:w="-5" w:type="dxa"/>
            </w:tcMar>
            <w:vAlign w:val="center"/>
          </w:tcPr>
          <w:p w:rsidR="00092E26" w:rsidRDefault="00092E26">
            <w:pPr>
              <w:pStyle w:val="Bezodstpw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Czas reakcji serwisu na zgłoszenie - nie dłużej niż 48 godz.</w:t>
            </w:r>
          </w:p>
        </w:tc>
        <w:tc>
          <w:tcPr>
            <w:tcW w:w="799" w:type="dxa"/>
            <w:tcMar>
              <w:left w:w="-5" w:type="dxa"/>
            </w:tcMar>
            <w:vAlign w:val="center"/>
          </w:tcPr>
          <w:p w:rsidR="00092E26" w:rsidRDefault="00092E26">
            <w:pPr>
              <w:suppressAutoHyphens/>
              <w:spacing w:line="252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092E26" w:rsidRDefault="00092E26">
            <w:pPr>
              <w:suppressAutoHyphens/>
              <w:spacing w:line="252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17" w:type="dxa"/>
            <w:tcMar>
              <w:left w:w="-5" w:type="dxa"/>
            </w:tcMar>
            <w:vAlign w:val="center"/>
          </w:tcPr>
          <w:p w:rsidR="00092E26" w:rsidRDefault="00092E26">
            <w:pPr>
              <w:suppressAutoHyphens/>
              <w:spacing w:line="252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092E26">
        <w:trPr>
          <w:trHeight w:val="229"/>
        </w:trPr>
        <w:tc>
          <w:tcPr>
            <w:tcW w:w="544" w:type="dxa"/>
            <w:tcMar>
              <w:left w:w="-5" w:type="dxa"/>
            </w:tcMar>
            <w:vAlign w:val="center"/>
          </w:tcPr>
          <w:p w:rsidR="00092E26" w:rsidRDefault="00092E26">
            <w:pPr>
              <w:suppressAutoHyphens/>
              <w:spacing w:line="252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501" w:type="dxa"/>
            <w:tcMar>
              <w:left w:w="-5" w:type="dxa"/>
            </w:tcMar>
            <w:vAlign w:val="center"/>
          </w:tcPr>
          <w:p w:rsidR="00092E26" w:rsidRDefault="00092E26">
            <w:pPr>
              <w:suppressAutoHyphens/>
              <w:spacing w:line="252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Maksymalny czas niezbędny na usunięcie awarii od czasu podjęcia naprawy</w:t>
            </w:r>
          </w:p>
          <w:p w:rsidR="00092E26" w:rsidRDefault="00092E26">
            <w:pPr>
              <w:suppressAutoHyphens/>
              <w:spacing w:line="252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- 48 godzin</w:t>
            </w:r>
          </w:p>
        </w:tc>
        <w:tc>
          <w:tcPr>
            <w:tcW w:w="799" w:type="dxa"/>
            <w:tcMar>
              <w:left w:w="-5" w:type="dxa"/>
            </w:tcMar>
            <w:vAlign w:val="center"/>
          </w:tcPr>
          <w:p w:rsidR="00092E26" w:rsidRDefault="00092E26">
            <w:pPr>
              <w:suppressAutoHyphens/>
              <w:spacing w:line="252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092E26" w:rsidRDefault="00092E26">
            <w:pPr>
              <w:suppressAutoHyphens/>
              <w:spacing w:line="252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092E26" w:rsidRDefault="00092E26">
            <w:pPr>
              <w:suppressAutoHyphens/>
              <w:spacing w:line="252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17" w:type="dxa"/>
            <w:tcMar>
              <w:left w:w="-5" w:type="dxa"/>
            </w:tcMar>
            <w:vAlign w:val="center"/>
          </w:tcPr>
          <w:p w:rsidR="00092E26" w:rsidRDefault="00092E26">
            <w:pPr>
              <w:suppressAutoHyphens/>
              <w:spacing w:line="252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092E26">
        <w:trPr>
          <w:trHeight w:val="229"/>
        </w:trPr>
        <w:tc>
          <w:tcPr>
            <w:tcW w:w="544" w:type="dxa"/>
            <w:tcMar>
              <w:left w:w="-5" w:type="dxa"/>
            </w:tcMar>
            <w:vAlign w:val="center"/>
          </w:tcPr>
          <w:p w:rsidR="00092E26" w:rsidRDefault="00092E26">
            <w:pPr>
              <w:suppressAutoHyphens/>
              <w:spacing w:line="252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4501" w:type="dxa"/>
            <w:tcMar>
              <w:left w:w="-5" w:type="dxa"/>
            </w:tcMar>
            <w:vAlign w:val="center"/>
          </w:tcPr>
          <w:p w:rsidR="00092E26" w:rsidRDefault="00092E26">
            <w:pPr>
              <w:suppressAutoHyphens/>
              <w:spacing w:line="252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Jeżeli czas naprawy będzie trwał dłużej niż 2 dni, Zamawiający wymaga dostarczenia aparatu zastępczego o parametrach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niegorszych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niż oferowany.</w:t>
            </w:r>
          </w:p>
        </w:tc>
        <w:tc>
          <w:tcPr>
            <w:tcW w:w="799" w:type="dxa"/>
            <w:tcMar>
              <w:left w:w="-5" w:type="dxa"/>
            </w:tcMar>
            <w:vAlign w:val="center"/>
          </w:tcPr>
          <w:p w:rsidR="00092E26" w:rsidRDefault="00092E26">
            <w:pPr>
              <w:suppressAutoHyphens/>
              <w:spacing w:line="252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17" w:type="dxa"/>
            <w:tcMar>
              <w:left w:w="-5" w:type="dxa"/>
            </w:tcMar>
            <w:vAlign w:val="center"/>
          </w:tcPr>
          <w:p w:rsidR="00092E26" w:rsidRDefault="00092E26">
            <w:pPr>
              <w:suppressAutoHyphens/>
              <w:spacing w:line="252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092E26">
        <w:trPr>
          <w:trHeight w:val="229"/>
        </w:trPr>
        <w:tc>
          <w:tcPr>
            <w:tcW w:w="544" w:type="dxa"/>
            <w:tcMar>
              <w:left w:w="-5" w:type="dxa"/>
            </w:tcMar>
            <w:vAlign w:val="center"/>
          </w:tcPr>
          <w:p w:rsidR="00092E26" w:rsidRDefault="00092E26">
            <w:pPr>
              <w:suppressAutoHyphens/>
              <w:spacing w:line="252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4501" w:type="dxa"/>
            <w:tcMar>
              <w:left w:w="-5" w:type="dxa"/>
            </w:tcMar>
            <w:vAlign w:val="center"/>
          </w:tcPr>
          <w:p w:rsidR="00092E26" w:rsidRDefault="00092E26">
            <w:pPr>
              <w:suppressAutoHyphens/>
              <w:spacing w:line="252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 przypadku stwierdzenia awarii analizatora niemożliwej do usunięcia w ciągu 48 godzin i niedostarczenia aparatu zastępczego, Wykonawca pokrywa różnicę kosztów związanych z wykonaniem badań zleconych w innym laboratorium.</w:t>
            </w:r>
          </w:p>
        </w:tc>
        <w:tc>
          <w:tcPr>
            <w:tcW w:w="799" w:type="dxa"/>
            <w:tcMar>
              <w:left w:w="-5" w:type="dxa"/>
            </w:tcMar>
            <w:vAlign w:val="center"/>
          </w:tcPr>
          <w:p w:rsidR="00092E26" w:rsidRDefault="00092E26">
            <w:pPr>
              <w:suppressAutoHyphens/>
              <w:spacing w:line="252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Tak </w:t>
            </w:r>
          </w:p>
        </w:tc>
        <w:tc>
          <w:tcPr>
            <w:tcW w:w="3417" w:type="dxa"/>
            <w:tcMar>
              <w:left w:w="-5" w:type="dxa"/>
            </w:tcMar>
            <w:vAlign w:val="center"/>
          </w:tcPr>
          <w:p w:rsidR="00092E26" w:rsidRDefault="00092E26">
            <w:pPr>
              <w:suppressAutoHyphens/>
              <w:spacing w:line="252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092E26">
        <w:trPr>
          <w:trHeight w:val="229"/>
        </w:trPr>
        <w:tc>
          <w:tcPr>
            <w:tcW w:w="544" w:type="dxa"/>
            <w:tcMar>
              <w:left w:w="-5" w:type="dxa"/>
            </w:tcMar>
            <w:vAlign w:val="center"/>
          </w:tcPr>
          <w:p w:rsidR="00092E26" w:rsidRDefault="00092E26">
            <w:pPr>
              <w:suppressAutoHyphens/>
              <w:spacing w:line="252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4501" w:type="dxa"/>
            <w:tcMar>
              <w:left w:w="-5" w:type="dxa"/>
            </w:tcMar>
            <w:vAlign w:val="center"/>
          </w:tcPr>
          <w:p w:rsidR="00092E26" w:rsidRDefault="00092E26">
            <w:pPr>
              <w:suppressAutoHyphens/>
              <w:spacing w:line="252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Wykonawca zobowiązany jest do wykonania bezpłatnych przeglądów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okresowych  oraz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konserwacji profilaktycznej sprzętu z wymianą zestawów części zużywalnych (z częstotliwością zgodną z zaleceniami producenta) przez autoryzowany przez producenta serwis oraz pracowników przeszkolonych w zakresie usług serwisowych, (aktualne szkolenia potwierdzone certyfikatem). Podać</w:t>
            </w:r>
            <w:r>
              <w:rPr>
                <w:rFonts w:ascii="Arial" w:hAnsi="Arial" w:cs="Arial"/>
                <w:sz w:val="20"/>
              </w:rPr>
              <w:t xml:space="preserve"> ilość punktów serwisowych w Polsce, ich siedzibę oraz sposób kontaktu (</w:t>
            </w:r>
            <w:proofErr w:type="spellStart"/>
            <w:r>
              <w:rPr>
                <w:rFonts w:ascii="Arial" w:hAnsi="Arial" w:cs="Arial"/>
                <w:sz w:val="20"/>
              </w:rPr>
              <w:t>tel</w:t>
            </w:r>
            <w:proofErr w:type="spellEnd"/>
            <w:r>
              <w:rPr>
                <w:rFonts w:ascii="Arial" w:hAnsi="Arial" w:cs="Arial"/>
                <w:sz w:val="20"/>
              </w:rPr>
              <w:t>, fax, e-mail)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799" w:type="dxa"/>
            <w:tcMar>
              <w:left w:w="-5" w:type="dxa"/>
            </w:tcMar>
            <w:vAlign w:val="center"/>
          </w:tcPr>
          <w:p w:rsidR="00092E26" w:rsidRDefault="00092E26">
            <w:pPr>
              <w:suppressAutoHyphens/>
              <w:spacing w:line="252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Podać</w:t>
            </w:r>
          </w:p>
          <w:p w:rsidR="00092E26" w:rsidRDefault="00092E26">
            <w:pPr>
              <w:suppressAutoHyphens/>
              <w:spacing w:line="252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17" w:type="dxa"/>
            <w:tcMar>
              <w:left w:w="-5" w:type="dxa"/>
            </w:tcMar>
            <w:vAlign w:val="center"/>
          </w:tcPr>
          <w:p w:rsidR="00092E26" w:rsidRDefault="00092E26">
            <w:pPr>
              <w:suppressAutoHyphens/>
              <w:spacing w:line="252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092E26">
        <w:trPr>
          <w:trHeight w:val="229"/>
        </w:trPr>
        <w:tc>
          <w:tcPr>
            <w:tcW w:w="544" w:type="dxa"/>
            <w:tcMar>
              <w:left w:w="-5" w:type="dxa"/>
            </w:tcMar>
            <w:vAlign w:val="center"/>
          </w:tcPr>
          <w:p w:rsidR="00092E26" w:rsidRDefault="00092E26">
            <w:pPr>
              <w:suppressAutoHyphens/>
              <w:spacing w:line="252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4501" w:type="dxa"/>
            <w:tcMar>
              <w:left w:w="-5" w:type="dxa"/>
            </w:tcMar>
            <w:vAlign w:val="center"/>
          </w:tcPr>
          <w:p w:rsidR="00092E26" w:rsidRDefault="00092E26">
            <w:pPr>
              <w:suppressAutoHyphens/>
              <w:spacing w:line="252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Wykonawca winien wykonywać przeglądy i aktualizację oprogramowania w okresie trwania umowy. </w:t>
            </w:r>
          </w:p>
        </w:tc>
        <w:tc>
          <w:tcPr>
            <w:tcW w:w="799" w:type="dxa"/>
            <w:tcMar>
              <w:left w:w="-5" w:type="dxa"/>
            </w:tcMar>
            <w:vAlign w:val="center"/>
          </w:tcPr>
          <w:p w:rsidR="00092E26" w:rsidRDefault="00092E26">
            <w:pPr>
              <w:suppressAutoHyphens/>
              <w:spacing w:line="252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17" w:type="dxa"/>
            <w:tcMar>
              <w:left w:w="-5" w:type="dxa"/>
            </w:tcMar>
            <w:vAlign w:val="center"/>
          </w:tcPr>
          <w:p w:rsidR="00092E26" w:rsidRDefault="00092E26">
            <w:pPr>
              <w:suppressAutoHyphens/>
              <w:spacing w:line="252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092E26">
        <w:trPr>
          <w:trHeight w:val="229"/>
        </w:trPr>
        <w:tc>
          <w:tcPr>
            <w:tcW w:w="544" w:type="dxa"/>
            <w:tcMar>
              <w:left w:w="-5" w:type="dxa"/>
            </w:tcMar>
            <w:vAlign w:val="center"/>
          </w:tcPr>
          <w:p w:rsidR="00092E26" w:rsidRDefault="00092E26">
            <w:pPr>
              <w:suppressAutoHyphens/>
              <w:spacing w:line="252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4501" w:type="dxa"/>
            <w:tcMar>
              <w:left w:w="-5" w:type="dxa"/>
            </w:tcMar>
            <w:vAlign w:val="center"/>
          </w:tcPr>
          <w:p w:rsidR="00092E26" w:rsidRDefault="00092E26">
            <w:pPr>
              <w:suppressAutoHyphens/>
              <w:spacing w:line="252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Paszport techniczny, instrukcje obsługi w języku polskim;</w:t>
            </w:r>
          </w:p>
        </w:tc>
        <w:tc>
          <w:tcPr>
            <w:tcW w:w="799" w:type="dxa"/>
            <w:tcMar>
              <w:left w:w="-5" w:type="dxa"/>
            </w:tcMar>
            <w:vAlign w:val="center"/>
          </w:tcPr>
          <w:p w:rsidR="00092E26" w:rsidRDefault="00092E26">
            <w:pPr>
              <w:suppressAutoHyphens/>
              <w:spacing w:line="252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17" w:type="dxa"/>
            <w:tcMar>
              <w:left w:w="-5" w:type="dxa"/>
            </w:tcMar>
            <w:vAlign w:val="center"/>
          </w:tcPr>
          <w:p w:rsidR="00092E26" w:rsidRDefault="00092E26">
            <w:pPr>
              <w:suppressAutoHyphens/>
              <w:spacing w:line="252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092E26">
        <w:trPr>
          <w:trHeight w:val="229"/>
        </w:trPr>
        <w:tc>
          <w:tcPr>
            <w:tcW w:w="544" w:type="dxa"/>
            <w:tcMar>
              <w:left w:w="-5" w:type="dxa"/>
            </w:tcMar>
            <w:vAlign w:val="center"/>
          </w:tcPr>
          <w:p w:rsidR="00092E26" w:rsidRDefault="00092E26">
            <w:pPr>
              <w:suppressAutoHyphens/>
              <w:spacing w:line="252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4501" w:type="dxa"/>
            <w:tcMar>
              <w:left w:w="-5" w:type="dxa"/>
            </w:tcMar>
            <w:vAlign w:val="center"/>
          </w:tcPr>
          <w:p w:rsidR="00092E26" w:rsidRDefault="00092E26">
            <w:pPr>
              <w:suppressAutoHyphens/>
              <w:spacing w:line="252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Przeprowadzenie bezpłatnego szkolenia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 xml:space="preserve">użytkowników </w:t>
            </w:r>
            <w:r>
              <w:rPr>
                <w:rFonts w:ascii="Arial" w:hAnsi="Arial"/>
                <w:sz w:val="20"/>
                <w:szCs w:val="20"/>
              </w:rPr>
              <w:t xml:space="preserve"> pracujących</w:t>
            </w:r>
            <w:proofErr w:type="gramEnd"/>
            <w:r>
              <w:rPr>
                <w:rFonts w:ascii="Arial" w:hAnsi="Arial"/>
                <w:sz w:val="20"/>
                <w:szCs w:val="20"/>
              </w:rPr>
              <w:t xml:space="preserve"> w trybie zmianowym w czasie umożliwiającym przeszkolenie całego personelu</w:t>
            </w:r>
            <w:r>
              <w:rPr>
                <w:rFonts w:ascii="Arial" w:hAnsi="Arial" w:cs="Arial"/>
                <w:sz w:val="20"/>
                <w:szCs w:val="20"/>
              </w:rPr>
              <w:t xml:space="preserve"> w zakresie obsługi aparatu, dodatkowo potwierdzone certyfikatem w siedzibie Zamawiającego</w:t>
            </w:r>
          </w:p>
        </w:tc>
        <w:tc>
          <w:tcPr>
            <w:tcW w:w="799" w:type="dxa"/>
            <w:tcMar>
              <w:left w:w="-5" w:type="dxa"/>
            </w:tcMar>
            <w:vAlign w:val="center"/>
          </w:tcPr>
          <w:p w:rsidR="00092E26" w:rsidRDefault="00092E26">
            <w:pPr>
              <w:suppressAutoHyphens/>
              <w:spacing w:line="252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17" w:type="dxa"/>
            <w:tcMar>
              <w:left w:w="-5" w:type="dxa"/>
            </w:tcMar>
            <w:vAlign w:val="center"/>
          </w:tcPr>
          <w:p w:rsidR="00092E26" w:rsidRDefault="00092E26">
            <w:pPr>
              <w:suppressAutoHyphens/>
              <w:spacing w:line="252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</w:tbl>
    <w:p w:rsidR="00092E26" w:rsidRDefault="00092E26">
      <w:pPr>
        <w:pStyle w:val="Nagwek"/>
        <w:tabs>
          <w:tab w:val="left" w:pos="708"/>
        </w:tabs>
        <w:rPr>
          <w:rFonts w:ascii="Arial" w:hAnsi="Arial" w:cs="Arial"/>
          <w:b/>
          <w:sz w:val="20"/>
          <w:szCs w:val="20"/>
        </w:rPr>
      </w:pPr>
    </w:p>
    <w:p w:rsidR="00092E26" w:rsidRDefault="00092E26">
      <w:pPr>
        <w:pStyle w:val="Nagwek"/>
        <w:tabs>
          <w:tab w:val="left" w:pos="708"/>
        </w:tabs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b/>
          <w:sz w:val="20"/>
          <w:szCs w:val="20"/>
        </w:rPr>
        <w:t>Uwagi</w:t>
      </w:r>
      <w:r>
        <w:rPr>
          <w:rFonts w:ascii="Arial" w:hAnsi="Arial" w:cs="Arial"/>
          <w:sz w:val="20"/>
          <w:szCs w:val="20"/>
        </w:rPr>
        <w:t xml:space="preserve"> :</w:t>
      </w:r>
      <w:proofErr w:type="gramEnd"/>
    </w:p>
    <w:p w:rsidR="00092E26" w:rsidRDefault="00092E26">
      <w:pPr>
        <w:pStyle w:val="Nagwe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 Niespełnienie któregoś z podanych warunków granicznych (wymaganych) skutkować będzie odrzuceniem oferty.</w:t>
      </w:r>
    </w:p>
    <w:p w:rsidR="00092E26" w:rsidRDefault="00092E26">
      <w:pPr>
        <w:pStyle w:val="Nagwe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2.   Oferta </w:t>
      </w:r>
      <w:proofErr w:type="gramStart"/>
      <w:r>
        <w:rPr>
          <w:rFonts w:ascii="Arial" w:hAnsi="Arial" w:cs="Arial"/>
          <w:sz w:val="20"/>
          <w:szCs w:val="20"/>
        </w:rPr>
        <w:t>nie spełniająca</w:t>
      </w:r>
      <w:proofErr w:type="gramEnd"/>
      <w:r>
        <w:rPr>
          <w:rFonts w:ascii="Arial" w:hAnsi="Arial" w:cs="Arial"/>
          <w:sz w:val="20"/>
          <w:szCs w:val="20"/>
        </w:rPr>
        <w:t xml:space="preserve"> wymogów granicznych podlega odrzuceniu bez dalszego rozpatrywania.</w:t>
      </w:r>
    </w:p>
    <w:p w:rsidR="00092E26" w:rsidRDefault="00092E26">
      <w:pPr>
        <w:pStyle w:val="Nagwe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Zamawiający zastrzega sobie prawo sprawdzenia podanych przez oferenta parametrów w dostępnych materiałach technicznych lub u producenta w przypadku powstania </w:t>
      </w:r>
      <w:proofErr w:type="gramStart"/>
      <w:r>
        <w:rPr>
          <w:rFonts w:ascii="Arial" w:hAnsi="Arial" w:cs="Arial"/>
          <w:sz w:val="20"/>
          <w:szCs w:val="20"/>
        </w:rPr>
        <w:t>wątpliwości co</w:t>
      </w:r>
      <w:proofErr w:type="gramEnd"/>
      <w:r>
        <w:rPr>
          <w:rFonts w:ascii="Arial" w:hAnsi="Arial" w:cs="Arial"/>
          <w:sz w:val="20"/>
          <w:szCs w:val="20"/>
        </w:rPr>
        <w:t xml:space="preserve"> do ich prawdziwości.</w:t>
      </w:r>
    </w:p>
    <w:p w:rsidR="00092E26" w:rsidRDefault="00092E2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Oświadczamy</w:t>
      </w:r>
      <w:r>
        <w:rPr>
          <w:rFonts w:ascii="Arial" w:hAnsi="Arial" w:cs="Arial"/>
          <w:sz w:val="20"/>
          <w:szCs w:val="20"/>
        </w:rPr>
        <w:t>, iż wyspecyfikowane powyżej urządzenia są kompletne i będą po montażu i zainstalowaniu gotowe do podjęcia prawidłowej pracy bez żadnych dodatkowych zakupów.</w:t>
      </w:r>
    </w:p>
    <w:p w:rsidR="00092E26" w:rsidRDefault="00092E26">
      <w:pPr>
        <w:ind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……………….</w:t>
      </w:r>
      <w:proofErr w:type="gramStart"/>
      <w:r>
        <w:rPr>
          <w:rFonts w:ascii="Arial" w:hAnsi="Arial" w:cs="Arial"/>
          <w:sz w:val="20"/>
          <w:szCs w:val="20"/>
        </w:rPr>
        <w:t>data</w:t>
      </w:r>
      <w:proofErr w:type="gramEnd"/>
      <w:r>
        <w:rPr>
          <w:rFonts w:ascii="Arial" w:hAnsi="Arial" w:cs="Arial"/>
          <w:sz w:val="20"/>
          <w:szCs w:val="20"/>
        </w:rPr>
        <w:t xml:space="preserve">………………….   </w:t>
      </w:r>
    </w:p>
    <w:p w:rsidR="00092E26" w:rsidRDefault="00092E2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   ……………………………….</w:t>
      </w:r>
    </w:p>
    <w:p w:rsidR="00092E26" w:rsidRDefault="00092E26">
      <w:pPr>
        <w:pStyle w:val="Tekstpodstawowy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Podpis osoby/osób </w:t>
      </w:r>
      <w:proofErr w:type="gramStart"/>
      <w:r>
        <w:rPr>
          <w:rFonts w:ascii="Arial" w:hAnsi="Arial" w:cs="Arial"/>
          <w:sz w:val="20"/>
          <w:szCs w:val="20"/>
        </w:rPr>
        <w:t xml:space="preserve">upoważnionej                                                  </w:t>
      </w:r>
      <w:proofErr w:type="gramEnd"/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</w:t>
      </w:r>
    </w:p>
    <w:p w:rsidR="00092E26" w:rsidRDefault="00092E26">
      <w:pPr>
        <w:pStyle w:val="Tekstpodstawowy"/>
      </w:pPr>
      <w:r>
        <w:t xml:space="preserve">                                                                               </w:t>
      </w:r>
    </w:p>
    <w:sectPr w:rsidR="00092E26" w:rsidSect="00253176">
      <w:pgSz w:w="11906" w:h="16838"/>
      <w:pgMar w:top="899" w:right="1440" w:bottom="539" w:left="1440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2"/>
    <w:multiLevelType w:val="singleLevel"/>
    <w:tmpl w:val="7DC6A5C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53176"/>
    <w:rsid w:val="00004925"/>
    <w:rsid w:val="00092E26"/>
    <w:rsid w:val="000B6717"/>
    <w:rsid w:val="00253176"/>
    <w:rsid w:val="00422CA5"/>
    <w:rsid w:val="00477A7B"/>
    <w:rsid w:val="00901DC3"/>
    <w:rsid w:val="00BC0BF8"/>
    <w:rsid w:val="00C90DD8"/>
    <w:rsid w:val="00E94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0D53D3F0-BCF2-4C60-8CD4-3C4BA8EB83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locked="1" w:uiPriority="0"/>
    <w:lsdException w:name="List Bullet" w:semiHidden="1" w:unhideWhenUsed="1"/>
    <w:lsdException w:name="List Number" w:semiHidden="1" w:unhideWhenUsed="1"/>
    <w:lsdException w:name="List 2" w:locked="1" w:uiPriority="0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01DC3"/>
    <w:pPr>
      <w:spacing w:after="160" w:line="259" w:lineRule="auto"/>
    </w:pPr>
    <w:rPr>
      <w:color w:val="00000A"/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901DC3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uiPriority w:val="99"/>
    <w:locked/>
    <w:rsid w:val="00901DC3"/>
    <w:rPr>
      <w:rFonts w:ascii="Arial" w:hAnsi="Arial" w:cs="Arial"/>
      <w:b/>
      <w:bCs/>
      <w:i/>
      <w:iCs/>
      <w:sz w:val="28"/>
      <w:szCs w:val="28"/>
      <w:lang w:eastAsia="pl-PL"/>
    </w:rPr>
  </w:style>
  <w:style w:type="character" w:customStyle="1" w:styleId="NagwekZnak">
    <w:name w:val="Nagłówek Znak"/>
    <w:link w:val="Nagwek"/>
    <w:uiPriority w:val="99"/>
    <w:locked/>
    <w:rsid w:val="00901DC3"/>
    <w:rPr>
      <w:rFonts w:ascii="Times New Roman" w:hAnsi="Times New Roman" w:cs="Times New Roman"/>
      <w:sz w:val="24"/>
      <w:szCs w:val="24"/>
      <w:lang w:eastAsia="ar-SA" w:bidi="ar-SA"/>
    </w:rPr>
  </w:style>
  <w:style w:type="character" w:customStyle="1" w:styleId="BodyTextChar">
    <w:name w:val="Body Text Char"/>
    <w:uiPriority w:val="99"/>
    <w:semiHidden/>
    <w:locked/>
    <w:rsid w:val="00901DC3"/>
    <w:rPr>
      <w:rFonts w:ascii="Times New Roman" w:hAnsi="Times New Roman" w:cs="Times New Roman"/>
      <w:kern w:val="2"/>
      <w:sz w:val="24"/>
      <w:szCs w:val="24"/>
      <w:lang w:eastAsia="pl-PL"/>
    </w:rPr>
  </w:style>
  <w:style w:type="character" w:customStyle="1" w:styleId="ListLabel1">
    <w:name w:val="ListLabel 1"/>
    <w:uiPriority w:val="99"/>
    <w:rsid w:val="00253176"/>
  </w:style>
  <w:style w:type="character" w:customStyle="1" w:styleId="ListLabel2">
    <w:name w:val="ListLabel 2"/>
    <w:uiPriority w:val="99"/>
    <w:rsid w:val="00253176"/>
  </w:style>
  <w:style w:type="character" w:customStyle="1" w:styleId="ListLabel3">
    <w:name w:val="ListLabel 3"/>
    <w:uiPriority w:val="99"/>
    <w:rsid w:val="00253176"/>
  </w:style>
  <w:style w:type="character" w:customStyle="1" w:styleId="ListLabel4">
    <w:name w:val="ListLabel 4"/>
    <w:uiPriority w:val="99"/>
    <w:rsid w:val="00253176"/>
  </w:style>
  <w:style w:type="character" w:customStyle="1" w:styleId="ListLabel5">
    <w:name w:val="ListLabel 5"/>
    <w:uiPriority w:val="99"/>
    <w:rsid w:val="00253176"/>
  </w:style>
  <w:style w:type="character" w:customStyle="1" w:styleId="ListLabel6">
    <w:name w:val="ListLabel 6"/>
    <w:uiPriority w:val="99"/>
    <w:rsid w:val="00253176"/>
  </w:style>
  <w:style w:type="character" w:customStyle="1" w:styleId="ListLabel7">
    <w:name w:val="ListLabel 7"/>
    <w:uiPriority w:val="99"/>
    <w:rsid w:val="00253176"/>
  </w:style>
  <w:style w:type="character" w:customStyle="1" w:styleId="ListLabel8">
    <w:name w:val="ListLabel 8"/>
    <w:uiPriority w:val="99"/>
    <w:rsid w:val="00253176"/>
  </w:style>
  <w:style w:type="character" w:customStyle="1" w:styleId="ListLabel9">
    <w:name w:val="ListLabel 9"/>
    <w:uiPriority w:val="99"/>
    <w:rsid w:val="00253176"/>
  </w:style>
  <w:style w:type="paragraph" w:styleId="Nagwek">
    <w:name w:val="header"/>
    <w:basedOn w:val="Normalny"/>
    <w:next w:val="Tekstpodstawowy"/>
    <w:link w:val="NagwekZnak"/>
    <w:uiPriority w:val="99"/>
    <w:rsid w:val="00901DC3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HeaderChar1">
    <w:name w:val="Header Char1"/>
    <w:uiPriority w:val="99"/>
    <w:semiHidden/>
    <w:locked/>
    <w:rPr>
      <w:rFonts w:cs="Times New Roman"/>
      <w:color w:val="00000A"/>
      <w:lang w:eastAsia="en-US"/>
    </w:rPr>
  </w:style>
  <w:style w:type="paragraph" w:styleId="Tekstpodstawowy">
    <w:name w:val="Body Text"/>
    <w:basedOn w:val="Normalny"/>
    <w:link w:val="TekstpodstawowyZnak"/>
    <w:uiPriority w:val="99"/>
    <w:semiHidden/>
    <w:rsid w:val="00901DC3"/>
    <w:pPr>
      <w:widowControl w:val="0"/>
      <w:suppressAutoHyphens/>
      <w:spacing w:after="120" w:line="240" w:lineRule="auto"/>
    </w:pPr>
    <w:rPr>
      <w:rFonts w:ascii="Times New Roman" w:hAnsi="Times New Roman"/>
      <w:kern w:val="2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uiPriority w:val="99"/>
    <w:semiHidden/>
    <w:locked/>
    <w:rPr>
      <w:rFonts w:cs="Times New Roman"/>
      <w:color w:val="00000A"/>
      <w:lang w:eastAsia="en-US"/>
    </w:rPr>
  </w:style>
  <w:style w:type="paragraph" w:styleId="Lista">
    <w:name w:val="List"/>
    <w:basedOn w:val="Normalny"/>
    <w:uiPriority w:val="99"/>
    <w:semiHidden/>
    <w:rsid w:val="00901DC3"/>
    <w:pPr>
      <w:spacing w:after="0" w:line="240" w:lineRule="auto"/>
      <w:ind w:left="283" w:hanging="283"/>
    </w:pPr>
    <w:rPr>
      <w:rFonts w:ascii="Times New Roman" w:eastAsia="Times New Roman" w:hAnsi="Times New Roman"/>
      <w:sz w:val="24"/>
      <w:szCs w:val="24"/>
      <w:lang w:val="cs-CZ" w:eastAsia="pl-PL"/>
    </w:rPr>
  </w:style>
  <w:style w:type="paragraph" w:styleId="Legenda">
    <w:name w:val="caption"/>
    <w:basedOn w:val="Normalny"/>
    <w:uiPriority w:val="99"/>
    <w:qFormat/>
    <w:rsid w:val="0025317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uiPriority w:val="99"/>
    <w:rsid w:val="00253176"/>
    <w:pPr>
      <w:suppressLineNumbers/>
    </w:pPr>
    <w:rPr>
      <w:rFonts w:cs="Mangal"/>
    </w:rPr>
  </w:style>
  <w:style w:type="paragraph" w:styleId="Listapunktowana3">
    <w:name w:val="List Bullet 3"/>
    <w:basedOn w:val="Normalny"/>
    <w:uiPriority w:val="99"/>
    <w:semiHidden/>
    <w:rsid w:val="00901DC3"/>
    <w:pPr>
      <w:spacing w:after="0" w:line="240" w:lineRule="auto"/>
      <w:ind w:left="566" w:hanging="283"/>
    </w:pPr>
    <w:rPr>
      <w:rFonts w:ascii="Times New Roman" w:eastAsia="Times New Roman" w:hAnsi="Times New Roman"/>
      <w:sz w:val="24"/>
      <w:szCs w:val="24"/>
      <w:lang w:val="cs-CZ" w:eastAsia="pl-PL"/>
    </w:rPr>
  </w:style>
  <w:style w:type="paragraph" w:styleId="Bezodstpw">
    <w:name w:val="No Spacing"/>
    <w:uiPriority w:val="99"/>
    <w:qFormat/>
    <w:rsid w:val="00901DC3"/>
    <w:pPr>
      <w:suppressAutoHyphens/>
    </w:pPr>
    <w:rPr>
      <w:rFonts w:ascii="Verdana" w:eastAsia="Times New Roman" w:hAnsi="Verdana"/>
      <w:color w:val="00000A"/>
      <w:kern w:val="2"/>
      <w:sz w:val="22"/>
    </w:rPr>
  </w:style>
  <w:style w:type="paragraph" w:customStyle="1" w:styleId="Standard">
    <w:name w:val="Standard"/>
    <w:uiPriority w:val="99"/>
    <w:rsid w:val="00901DC3"/>
    <w:pPr>
      <w:widowControl w:val="0"/>
      <w:suppressAutoHyphens/>
    </w:pPr>
    <w:rPr>
      <w:rFonts w:ascii="Times New Roman" w:eastAsia="SimSun" w:hAnsi="Times New Roman" w:cs="Mangal"/>
      <w:color w:val="00000A"/>
      <w:kern w:val="2"/>
      <w:sz w:val="24"/>
      <w:szCs w:val="24"/>
      <w:lang w:eastAsia="zh-CN" w:bidi="hi-IN"/>
    </w:rPr>
  </w:style>
  <w:style w:type="paragraph" w:customStyle="1" w:styleId="Zawartotabeli">
    <w:name w:val="Zawartość tabeli"/>
    <w:basedOn w:val="Standard"/>
    <w:uiPriority w:val="99"/>
    <w:rsid w:val="00901DC3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773</Words>
  <Characters>4638</Characters>
  <Application>Microsoft Office Word</Application>
  <DocSecurity>0</DocSecurity>
  <Lines>38</Lines>
  <Paragraphs>10</Paragraphs>
  <ScaleCrop>false</ScaleCrop>
  <Company>Hewlett-Packard</Company>
  <LinksUpToDate>false</LinksUpToDate>
  <CharactersWithSpaces>5401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                                                                   ZOZ/DZP/PN/…………/17</dc:title>
  <dc:subject/>
  <dc:creator>Michal</dc:creator>
  <cp:keywords/>
  <dc:description/>
  <cp:lastModifiedBy>Marta MZ. Zapłotna</cp:lastModifiedBy>
  <cp:revision>4</cp:revision>
  <dcterms:created xsi:type="dcterms:W3CDTF">2021-05-28T10:09:00Z</dcterms:created>
  <dcterms:modified xsi:type="dcterms:W3CDTF">2021-06-02T09:26:00Z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Hewlett-Packard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