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2DF" w:rsidRPr="003D6A88" w:rsidRDefault="00391E47" w:rsidP="004852DF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sz w:val="20"/>
          <w:u w:val="none"/>
        </w:rPr>
        <w:t xml:space="preserve"> </w:t>
      </w:r>
      <w:r w:rsidR="004852DF" w:rsidRPr="003D6A88">
        <w:rPr>
          <w:rFonts w:ascii="Arial" w:hAnsi="Arial" w:cs="Arial"/>
          <w:sz w:val="20"/>
          <w:u w:val="none"/>
        </w:rPr>
        <w:t>Załącznik nr 2</w:t>
      </w:r>
      <w:r w:rsidR="004852DF">
        <w:rPr>
          <w:rFonts w:ascii="Arial" w:hAnsi="Arial" w:cs="Arial"/>
          <w:sz w:val="20"/>
          <w:u w:val="none"/>
        </w:rPr>
        <w:t xml:space="preserve"> - </w:t>
      </w:r>
      <w:r w:rsidR="00DE0C81">
        <w:rPr>
          <w:rFonts w:ascii="Arial" w:hAnsi="Arial" w:cs="Arial"/>
          <w:sz w:val="20"/>
          <w:u w:val="none"/>
        </w:rPr>
        <w:t>4</w:t>
      </w:r>
      <w:r w:rsidR="004852DF" w:rsidRPr="003D6A88">
        <w:rPr>
          <w:rFonts w:ascii="Arial" w:hAnsi="Arial" w:cs="Arial"/>
          <w:sz w:val="20"/>
          <w:u w:val="none"/>
        </w:rPr>
        <w:t xml:space="preserve">   </w:t>
      </w:r>
      <w:r w:rsidR="004852DF">
        <w:rPr>
          <w:rFonts w:ascii="Arial" w:hAnsi="Arial" w:cs="Arial"/>
          <w:sz w:val="20"/>
          <w:u w:val="none"/>
        </w:rPr>
        <w:t xml:space="preserve">                                   </w:t>
      </w:r>
      <w:r w:rsidR="004852DF"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 w:rsidR="004852DF">
        <w:rPr>
          <w:rFonts w:ascii="Arial" w:hAnsi="Arial" w:cs="Arial"/>
          <w:sz w:val="20"/>
          <w:u w:val="none"/>
        </w:rPr>
        <w:t>1</w:t>
      </w:r>
      <w:r w:rsidR="004852DF" w:rsidRPr="003D6A88">
        <w:rPr>
          <w:rFonts w:ascii="Arial" w:hAnsi="Arial" w:cs="Arial"/>
          <w:sz w:val="20"/>
          <w:u w:val="none"/>
        </w:rPr>
        <w:t>/1</w:t>
      </w:r>
      <w:r w:rsidR="00D274C1">
        <w:rPr>
          <w:rFonts w:ascii="Arial" w:hAnsi="Arial" w:cs="Arial"/>
          <w:sz w:val="20"/>
          <w:u w:val="none"/>
        </w:rPr>
        <w:t>8</w:t>
      </w:r>
    </w:p>
    <w:p w:rsidR="004852DF" w:rsidRDefault="004852D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4852DF" w:rsidRPr="001F738B" w:rsidRDefault="004852D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  <w:r w:rsidRPr="001F738B">
        <w:rPr>
          <w:rFonts w:ascii="Tahoma" w:hAnsi="Tahoma" w:cs="Tahoma"/>
          <w:b/>
          <w:bCs/>
          <w:sz w:val="20"/>
          <w:szCs w:val="20"/>
        </w:rPr>
        <w:t xml:space="preserve">Zadanie nr </w:t>
      </w:r>
      <w:r w:rsidR="00DE0C81">
        <w:rPr>
          <w:rFonts w:ascii="Tahoma" w:hAnsi="Tahoma" w:cs="Tahoma"/>
          <w:b/>
          <w:bCs/>
          <w:sz w:val="20"/>
          <w:szCs w:val="20"/>
        </w:rPr>
        <w:t>4</w:t>
      </w:r>
    </w:p>
    <w:p w:rsidR="004852DF" w:rsidRPr="001F738B" w:rsidRDefault="004852D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4852DF" w:rsidRPr="001F738B" w:rsidRDefault="004852DF" w:rsidP="004852DF">
      <w:pPr>
        <w:rPr>
          <w:rFonts w:ascii="Tahoma" w:hAnsi="Tahoma" w:cs="Tahoma"/>
          <w:b/>
        </w:rPr>
      </w:pPr>
      <w:r w:rsidRPr="001F738B">
        <w:rPr>
          <w:rFonts w:ascii="Tahoma" w:hAnsi="Tahoma" w:cs="Tahoma"/>
          <w:b/>
        </w:rPr>
        <w:t xml:space="preserve">Pasy magnetyczne 1 </w:t>
      </w:r>
      <w:proofErr w:type="spellStart"/>
      <w:r>
        <w:rPr>
          <w:rFonts w:ascii="Tahoma" w:hAnsi="Tahoma" w:cs="Tahoma"/>
          <w:b/>
        </w:rPr>
        <w:t>kpl</w:t>
      </w:r>
      <w:proofErr w:type="spellEnd"/>
      <w:r>
        <w:rPr>
          <w:rFonts w:ascii="Tahoma" w:hAnsi="Tahoma" w:cs="Tahoma"/>
          <w:b/>
        </w:rPr>
        <w:t>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956"/>
        <w:gridCol w:w="1276"/>
        <w:gridCol w:w="2552"/>
      </w:tblGrid>
      <w:tr w:rsidR="004852DF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4852DF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C45C9C" w:rsidP="002225BF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Model:</w:t>
            </w: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95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9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Style w:val="TableContents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bCs/>
                <w:sz w:val="20"/>
                <w:szCs w:val="20"/>
              </w:rPr>
              <w:t>Urządzenie fabrycznie nowe Rok produkcji 2017</w:t>
            </w:r>
            <w:r w:rsidR="001A3808">
              <w:rPr>
                <w:rFonts w:ascii="Tahoma" w:hAnsi="Tahoma" w:cs="Tahoma"/>
                <w:bCs/>
                <w:sz w:val="20"/>
                <w:szCs w:val="20"/>
              </w:rPr>
              <w:t xml:space="preserve"> lub 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Cs/>
                <w:sz w:val="20"/>
                <w:szCs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2.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 xml:space="preserve">System pasów </w:t>
            </w:r>
            <w:r w:rsidR="00747707">
              <w:rPr>
                <w:rFonts w:ascii="Tahoma" w:hAnsi="Tahoma" w:cs="Tahoma"/>
                <w:sz w:val="20"/>
                <w:szCs w:val="20"/>
              </w:rPr>
              <w:t xml:space="preserve">rozmiar  L (obwód pasa 95-135cm+/-5cm, obwód nadgarstków 19-25cm+/-1cm, obwód kostek 24-30cm +/-1cm) </w:t>
            </w:r>
            <w:r w:rsidRPr="001F738B">
              <w:rPr>
                <w:rFonts w:ascii="Tahoma" w:hAnsi="Tahoma" w:cs="Tahoma"/>
                <w:sz w:val="20"/>
                <w:szCs w:val="20"/>
              </w:rPr>
              <w:t>przeznaczonych do bezpiecznego  unieruchamiania pacjenta w pozycji leżącej, składający się z: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pas brzuszny ze zszywanymi bocznymi taśmami z paskiem kroczowym – 1 szt.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opaski na nadgarstki z długimi paskami do mocowania do łóżka – 1 para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opaski na kostki – 1 para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pas do mocowania opa</w:t>
            </w:r>
            <w:r w:rsidR="00747707">
              <w:rPr>
                <w:rStyle w:val="hps"/>
                <w:rFonts w:ascii="Tahoma" w:hAnsi="Tahoma" w:cs="Tahoma"/>
                <w:sz w:val="20"/>
                <w:szCs w:val="20"/>
              </w:rPr>
              <w:t>sek na kostki na łóżku – 1 szt.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 xml:space="preserve">szelki mocujące klatkę piersiową z dodatkowym pasem do mocowania na łóżku – 1 </w:t>
            </w:r>
            <w:proofErr w:type="spellStart"/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kpl</w:t>
            </w:r>
            <w:proofErr w:type="spellEnd"/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.</w:t>
            </w:r>
          </w:p>
          <w:p w:rsidR="00754E94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754E94">
              <w:rPr>
                <w:rStyle w:val="hps"/>
                <w:rFonts w:ascii="Tahoma" w:hAnsi="Tahoma" w:cs="Tahoma"/>
                <w:sz w:val="20"/>
                <w:szCs w:val="20"/>
              </w:rPr>
              <w:t>minimum 1</w:t>
            </w:r>
            <w:r w:rsidR="00754E94" w:rsidRPr="00754E94">
              <w:rPr>
                <w:rStyle w:val="hps"/>
                <w:rFonts w:ascii="Tahoma" w:hAnsi="Tahoma" w:cs="Tahoma"/>
                <w:sz w:val="20"/>
                <w:szCs w:val="20"/>
              </w:rPr>
              <w:t>6</w:t>
            </w:r>
            <w:r w:rsidR="00754E94">
              <w:rPr>
                <w:rStyle w:val="hps"/>
                <w:rFonts w:ascii="Tahoma" w:hAnsi="Tahoma" w:cs="Tahoma"/>
                <w:sz w:val="20"/>
                <w:szCs w:val="20"/>
              </w:rPr>
              <w:t xml:space="preserve"> zamków magnetycznych </w:t>
            </w:r>
            <w:r w:rsidRPr="00754E94">
              <w:rPr>
                <w:rStyle w:val="hps"/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4852DF" w:rsidRPr="00754E94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754E94">
              <w:rPr>
                <w:rStyle w:val="hps"/>
                <w:rFonts w:ascii="Tahoma" w:hAnsi="Tahoma" w:cs="Tahoma"/>
                <w:sz w:val="20"/>
                <w:szCs w:val="20"/>
              </w:rPr>
              <w:t>4 klucze magnetyczne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Torba do przechowywania</w:t>
            </w:r>
          </w:p>
          <w:p w:rsidR="004852DF" w:rsidRPr="001F738B" w:rsidRDefault="004852DF" w:rsidP="004852DF">
            <w:pPr>
              <w:pStyle w:val="Akapitzlist1"/>
              <w:numPr>
                <w:ilvl w:val="0"/>
                <w:numId w:val="2"/>
              </w:numPr>
              <w:spacing w:after="0" w:line="240" w:lineRule="auto"/>
              <w:ind w:left="142" w:hanging="142"/>
              <w:rPr>
                <w:rStyle w:val="hps"/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  <w:szCs w:val="20"/>
              </w:rPr>
              <w:t>Wysuwany brelok do kluczy magnetycznych</w:t>
            </w:r>
          </w:p>
          <w:p w:rsidR="004852DF" w:rsidRPr="001F738B" w:rsidRDefault="004852DF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Instrukcja video na płycie DVD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3.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Pasy wykonane z poliestru, wzmocnionego na całej długości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4.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Wszystkie pasy zapinane na zamki magnetyczne uniemożliwiające pacjentowi lub osobom nieupoważnionym ich odpięcie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5.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 xml:space="preserve">Opaski na nadgarstki i kostki wyposażone dodatkowo zapięcia typu </w:t>
            </w:r>
            <w:proofErr w:type="spellStart"/>
            <w:r w:rsidRPr="001F738B">
              <w:rPr>
                <w:rStyle w:val="hps"/>
                <w:rFonts w:ascii="Tahoma" w:hAnsi="Tahoma" w:cs="Tahoma"/>
                <w:sz w:val="20"/>
              </w:rPr>
              <w:t>velcro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6.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Pas brzuszny wyposażony w dodatkowe paski boczne umożliwiające regulację swobody ruchów pacjenta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52DF" w:rsidRPr="001F738B" w:rsidRDefault="004852DF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7.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Pasy dostosowane do łóżek o różnych rozmiarach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8.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Krawędzie pasów wykończone miękką wyściółką zapobiegającą otarciom naskórka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9.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Otwory pasów kodowane alfanumerycznie, co pozwala na łatwiejszą i szybszą aplikację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10.</w:t>
            </w:r>
          </w:p>
        </w:tc>
        <w:tc>
          <w:tcPr>
            <w:tcW w:w="495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Opaski na nadgarstki i na kostki oznaczone różnymi kolorami w celu ułatwienia aplikacji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lastRenderedPageBreak/>
              <w:t>11.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Wszystkie pasy wyposażone w czytelne etykiety zawierające informację o miejscu aplikacji, rozmiarze, warunkach prania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12.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Otwory na zamki zgrzewane ultradźwiękowo, zabezpieczone oczkami ze stali nierdzewnej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13.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>Elementy metalowe oczek i zamków odporne na korozję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  <w:r w:rsidRPr="001F738B"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14.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 xml:space="preserve">Możliwość prania w </w:t>
            </w:r>
            <w:smartTag w:uri="urn:schemas-microsoft-com:office:smarttags" w:element="metricconverter">
              <w:smartTagPr>
                <w:attr w:name="ProductID" w:val="90 st"/>
              </w:smartTagPr>
              <w:r w:rsidRPr="001F738B">
                <w:rPr>
                  <w:rStyle w:val="hps"/>
                  <w:rFonts w:ascii="Tahoma" w:hAnsi="Tahoma" w:cs="Tahoma"/>
                  <w:sz w:val="20"/>
                </w:rPr>
                <w:t>90 st</w:t>
              </w:r>
            </w:smartTag>
            <w:r w:rsidRPr="001F738B">
              <w:rPr>
                <w:rStyle w:val="hps"/>
                <w:rFonts w:ascii="Tahoma" w:hAnsi="Tahoma" w:cs="Tahoma"/>
                <w:sz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F6712" w:rsidP="004F671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  <w:tr w:rsidR="004852DF" w:rsidRPr="001F738B" w:rsidTr="000272F0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lang w:eastAsia="en-US"/>
              </w:rPr>
            </w:pPr>
            <w:r w:rsidRPr="001F738B">
              <w:rPr>
                <w:rFonts w:ascii="Tahoma" w:hAnsi="Tahoma" w:cs="Tahoma"/>
                <w:sz w:val="20"/>
                <w:lang w:eastAsia="en-US"/>
              </w:rPr>
              <w:t>15.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852DF" w:rsidRPr="001F738B" w:rsidRDefault="004852DF" w:rsidP="006900B2">
            <w:pPr>
              <w:rPr>
                <w:rFonts w:ascii="Tahoma" w:hAnsi="Tahoma" w:cs="Tahoma"/>
                <w:sz w:val="20"/>
              </w:rPr>
            </w:pPr>
            <w:r w:rsidRPr="001F738B">
              <w:rPr>
                <w:rStyle w:val="hps"/>
                <w:rFonts w:ascii="Tahoma" w:hAnsi="Tahoma" w:cs="Tahoma"/>
                <w:sz w:val="20"/>
              </w:rPr>
              <w:t xml:space="preserve">Możliwość sterylizacji za pomocą następujących </w:t>
            </w:r>
            <w:r w:rsidRPr="001F738B">
              <w:rPr>
                <w:rFonts w:ascii="Tahoma" w:hAnsi="Tahoma" w:cs="Tahoma"/>
                <w:sz w:val="20"/>
              </w:rPr>
              <w:t>procedur sterylizacyjnych:</w:t>
            </w:r>
          </w:p>
          <w:p w:rsidR="004852DF" w:rsidRPr="001F738B" w:rsidRDefault="004852DF" w:rsidP="006900B2">
            <w:pPr>
              <w:pStyle w:val="Akapitzlist1"/>
              <w:tabs>
                <w:tab w:val="left" w:pos="5812"/>
                <w:tab w:val="left" w:pos="5954"/>
              </w:tabs>
              <w:spacing w:after="0" w:line="240" w:lineRule="auto"/>
              <w:ind w:left="0"/>
              <w:rPr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tlenek etylenu</w:t>
            </w:r>
          </w:p>
          <w:p w:rsidR="004852DF" w:rsidRPr="001F738B" w:rsidRDefault="004852DF" w:rsidP="006900B2">
            <w:pPr>
              <w:pStyle w:val="Akapitzlist1"/>
              <w:tabs>
                <w:tab w:val="left" w:pos="5812"/>
                <w:tab w:val="left" w:pos="5954"/>
              </w:tabs>
              <w:spacing w:after="0" w:line="240" w:lineRule="auto"/>
              <w:ind w:left="0"/>
              <w:rPr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nasycona para, 120˚, w krótkim cyklu</w:t>
            </w:r>
          </w:p>
          <w:p w:rsidR="004852DF" w:rsidRPr="001F738B" w:rsidRDefault="004852DF" w:rsidP="006900B2">
            <w:pPr>
              <w:rPr>
                <w:rStyle w:val="hps"/>
                <w:rFonts w:ascii="Tahoma" w:hAnsi="Tahoma" w:cs="Tahoma"/>
                <w:sz w:val="20"/>
              </w:rPr>
            </w:pPr>
            <w:r w:rsidRPr="001F738B">
              <w:rPr>
                <w:rFonts w:ascii="Tahoma" w:hAnsi="Tahoma" w:cs="Tahoma"/>
                <w:sz w:val="20"/>
              </w:rPr>
              <w:t>promieniowanie gamma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F6712" w:rsidP="004F6712">
            <w:pPr>
              <w:jc w:val="center"/>
              <w:rPr>
                <w:rFonts w:ascii="Tahoma" w:hAnsi="Tahoma" w:cs="Tahoma"/>
                <w:color w:val="000000"/>
                <w:sz w:val="20"/>
              </w:rPr>
            </w:pPr>
            <w:r>
              <w:rPr>
                <w:rFonts w:ascii="Tahoma" w:hAnsi="Tahoma" w:cs="Tahoma"/>
                <w:color w:val="000000"/>
                <w:sz w:val="20"/>
              </w:rPr>
              <w:t>TAK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2DF" w:rsidRPr="001F738B" w:rsidRDefault="004852DF" w:rsidP="006900B2">
            <w:pPr>
              <w:jc w:val="center"/>
              <w:rPr>
                <w:rFonts w:ascii="Tahoma" w:hAnsi="Tahoma" w:cs="Tahoma"/>
              </w:rPr>
            </w:pPr>
          </w:p>
        </w:tc>
      </w:tr>
    </w:tbl>
    <w:p w:rsidR="004852DF" w:rsidRDefault="004852D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4136EF" w:rsidRDefault="004136E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4136EF" w:rsidRDefault="004136EF" w:rsidP="004852DF">
      <w:pPr>
        <w:pStyle w:val="Standard"/>
        <w:rPr>
          <w:rFonts w:ascii="Tahoma" w:hAnsi="Tahoma" w:cs="Tahoma"/>
          <w:b/>
          <w:bCs/>
          <w:sz w:val="20"/>
          <w:szCs w:val="20"/>
        </w:rPr>
      </w:pPr>
    </w:p>
    <w:p w:rsidR="00391E47" w:rsidRPr="00391E47" w:rsidRDefault="00391E47" w:rsidP="00391E47">
      <w:pPr>
        <w:widowControl w:val="0"/>
        <w:suppressAutoHyphens/>
        <w:autoSpaceDN w:val="0"/>
        <w:rPr>
          <w:rFonts w:ascii="Tahoma" w:eastAsia="SimSun" w:hAnsi="Tahoma" w:cs="Tahoma"/>
          <w:b/>
          <w:bCs/>
          <w:color w:val="FF0000"/>
          <w:kern w:val="3"/>
          <w:sz w:val="20"/>
          <w:szCs w:val="20"/>
          <w:lang w:eastAsia="zh-CN" w:bidi="hi-IN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98"/>
        <w:gridCol w:w="1399"/>
        <w:gridCol w:w="2570"/>
      </w:tblGrid>
      <w:tr w:rsidR="00391E47" w:rsidRPr="00391E47" w:rsidTr="008F58CF">
        <w:trPr>
          <w:trHeight w:val="284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91E47" w:rsidRPr="00391E47" w:rsidRDefault="00391E47" w:rsidP="00391E47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391E47" w:rsidRPr="00391E47" w:rsidRDefault="00391E47" w:rsidP="00391E47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391E47">
              <w:rPr>
                <w:rFonts w:ascii="Arial" w:hAnsi="Arial" w:cs="Arial"/>
                <w:b/>
                <w:sz w:val="20"/>
                <w:lang w:eastAsia="en-US"/>
              </w:rPr>
              <w:t xml:space="preserve">WARUNKI GWARANCJI I </w:t>
            </w:r>
            <w:r w:rsidR="000272F0"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1.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Gwarancja min. 24 m-ce </w:t>
            </w:r>
          </w:p>
          <w:p w:rsidR="00391E47" w:rsidRDefault="00391E47" w:rsidP="00391E4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</w:pPr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u w:val="single"/>
                <w:lang w:eastAsia="en-US"/>
              </w:rPr>
              <w:t>Zasady oceny punktowej:</w:t>
            </w:r>
          </w:p>
          <w:p w:rsidR="00391E47" w:rsidRPr="00391E47" w:rsidRDefault="00391E47" w:rsidP="00391E4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24 m-ce –</w:t>
            </w:r>
            <w:r w:rsidR="00ED16B1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</w:t>
            </w:r>
            <w:r w:rsidR="00ED37AA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0</w:t>
            </w:r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pkt.</w:t>
            </w:r>
          </w:p>
          <w:p w:rsidR="00391E47" w:rsidRPr="00391E47" w:rsidRDefault="00391E47" w:rsidP="00391E4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Gwarancja 36 m-</w:t>
            </w:r>
            <w:proofErr w:type="spellStart"/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>cy</w:t>
            </w:r>
            <w:proofErr w:type="spellEnd"/>
            <w:r w:rsidRPr="00391E47"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  <w:t xml:space="preserve"> i więcej 20 pkt.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  <w:r w:rsidR="00962CED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</w:t>
            </w: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754E94" w:rsidRPr="00391E47" w:rsidTr="0055527D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4E94" w:rsidRPr="00391E47" w:rsidRDefault="00754E94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2.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C055C" w:rsidRDefault="009C055C" w:rsidP="009C055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9C055C" w:rsidRDefault="009C055C" w:rsidP="009C055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ED16B1">
              <w:rPr>
                <w:rFonts w:ascii="Arial" w:hAnsi="Arial" w:cs="Arial"/>
                <w:sz w:val="20"/>
                <w:szCs w:val="20"/>
                <w:highlight w:val="yellow"/>
              </w:rPr>
              <w:t>3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- 0 pkt</w:t>
            </w:r>
          </w:p>
          <w:p w:rsidR="009C055C" w:rsidRDefault="009C055C" w:rsidP="009C055C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ED16B1">
              <w:rPr>
                <w:rFonts w:ascii="Arial" w:hAnsi="Arial" w:cs="Arial"/>
                <w:sz w:val="20"/>
                <w:szCs w:val="20"/>
                <w:highlight w:val="yellow"/>
              </w:rPr>
              <w:t>2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- 10 pkt</w:t>
            </w:r>
          </w:p>
          <w:p w:rsidR="00754E94" w:rsidRPr="00391E47" w:rsidRDefault="009C055C" w:rsidP="00ED16B1">
            <w:pPr>
              <w:snapToGrid w:val="0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  <w:r w:rsidR="00ED16B1">
              <w:rPr>
                <w:rFonts w:ascii="Arial" w:hAnsi="Arial" w:cs="Arial"/>
                <w:sz w:val="20"/>
                <w:szCs w:val="20"/>
                <w:highlight w:val="yellow"/>
              </w:rPr>
              <w:t>1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 xml:space="preserve"> tygodnie - 20 pkt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4E94" w:rsidRPr="00391E47" w:rsidRDefault="00754E94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2A3449">
              <w:rPr>
                <w:rFonts w:ascii="Arial" w:hAnsi="Arial" w:cs="Arial"/>
                <w:sz w:val="20"/>
                <w:highlight w:val="yellow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4E94" w:rsidRPr="00391E47" w:rsidRDefault="00754E94" w:rsidP="00391E4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3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Czas reakcji: przyjęcie zgłoszenie-podjęcie naprawy</w:t>
            </w:r>
          </w:p>
          <w:p w:rsidR="00391E47" w:rsidRPr="00391E47" w:rsidRDefault="00391E47" w:rsidP="00391E47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– 24 godziny</w:t>
            </w:r>
          </w:p>
          <w:p w:rsidR="00391E47" w:rsidRPr="00391E47" w:rsidRDefault="00391E47" w:rsidP="00391E4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48 godzin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4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Maksymalny czas niezbędny na usunięcie awarii od czasu  lokalizacji uszkodzenia</w:t>
            </w:r>
          </w:p>
          <w:p w:rsidR="00391E47" w:rsidRPr="00391E47" w:rsidRDefault="00391E47" w:rsidP="00391E47">
            <w:pPr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w okresie gwarancji - 3 dni</w:t>
            </w:r>
          </w:p>
          <w:p w:rsidR="00391E47" w:rsidRPr="00391E47" w:rsidRDefault="00391E47" w:rsidP="00391E47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- po okresie gwarancji – 5 dni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  <w:p w:rsidR="00391E47" w:rsidRPr="00391E47" w:rsidRDefault="00391E47" w:rsidP="00391E47">
            <w:pPr>
              <w:spacing w:line="256" w:lineRule="auto"/>
              <w:jc w:val="center"/>
              <w:rPr>
                <w:rFonts w:ascii="Arial" w:hAnsi="Arial" w:cs="Arial"/>
                <w:sz w:val="20"/>
                <w:highlight w:val="yellow"/>
                <w:lang w:eastAsia="en-US"/>
              </w:rPr>
            </w:pPr>
          </w:p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5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niegorszych</w:t>
            </w:r>
            <w:proofErr w:type="spellEnd"/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niż oferowany.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6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7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CF4712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Liczba napraw powodująca wymianę na nowy  </w:t>
            </w:r>
            <w:r w:rsidR="00CF4712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             </w:t>
            </w: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w okresie gwarancji – 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8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tel</w:t>
            </w:r>
            <w:proofErr w:type="spellEnd"/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, fax, e-mail))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9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9C055C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10</w:t>
            </w:r>
            <w:r w:rsidR="00391E47"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Default="00391E47" w:rsidP="00391E4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Serwis pogwarancyjny przez okres, co najmniej 8 lat.</w:t>
            </w:r>
          </w:p>
          <w:p w:rsidR="00561BAE" w:rsidRPr="00391E47" w:rsidRDefault="00561BAE" w:rsidP="00391E4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561BAE" w:rsidRPr="00391E47" w:rsidRDefault="00561BAE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91E47" w:rsidRPr="00391E47" w:rsidTr="0055527D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561BAE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lastRenderedPageBreak/>
              <w:t>1</w:t>
            </w:r>
            <w:r w:rsidR="00561BAE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bookmarkStart w:id="0" w:name="_GoBack"/>
            <w:bookmarkEnd w:id="0"/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.</w:t>
            </w:r>
          </w:p>
        </w:tc>
        <w:tc>
          <w:tcPr>
            <w:tcW w:w="4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szCs w:val="20"/>
                <w:highlight w:val="yellow"/>
              </w:rPr>
              <w:t xml:space="preserve">Przeprowadzenie bezpłatnego szkolenia użytkowników </w:t>
            </w:r>
            <w:r w:rsidRPr="00391E47">
              <w:rPr>
                <w:rFonts w:ascii="Arial" w:hAnsi="Arial"/>
                <w:sz w:val="20"/>
                <w:szCs w:val="20"/>
                <w:highlight w:val="yellow"/>
              </w:rPr>
              <w:t xml:space="preserve"> pracujących w trybie zmianowym w czasie umożliwiającym przeszkolenie całego personelu</w:t>
            </w:r>
            <w:r w:rsidRPr="00391E47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w zakresie obsługi aparatu, dodatkowo potwierdzone certyfikatem w siedzibie Zamawiającego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highlight w:val="yellow"/>
                <w:lang w:eastAsia="en-US"/>
              </w:rPr>
            </w:pPr>
            <w:r w:rsidRPr="00391E47">
              <w:rPr>
                <w:rFonts w:ascii="Arial" w:hAnsi="Arial" w:cs="Arial"/>
                <w:sz w:val="20"/>
                <w:highlight w:val="yellow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1E47" w:rsidRPr="00391E47" w:rsidRDefault="00391E47" w:rsidP="00391E4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391E47" w:rsidRPr="00391E47" w:rsidRDefault="00391E47" w:rsidP="00391E47">
      <w:pPr>
        <w:tabs>
          <w:tab w:val="left" w:pos="708"/>
          <w:tab w:val="center" w:pos="4536"/>
          <w:tab w:val="right" w:pos="9072"/>
        </w:tabs>
        <w:rPr>
          <w:rFonts w:ascii="Arial" w:eastAsia="Calibri" w:hAnsi="Arial" w:cs="Arial"/>
          <w:b/>
          <w:sz w:val="20"/>
          <w:lang w:val="x-none" w:eastAsia="x-none"/>
        </w:rPr>
      </w:pPr>
    </w:p>
    <w:p w:rsidR="00391E47" w:rsidRPr="00391E47" w:rsidRDefault="00391E47" w:rsidP="00391E4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0"/>
          <w:lang w:val="x-none" w:eastAsia="x-none"/>
        </w:rPr>
      </w:pPr>
      <w:r w:rsidRPr="00391E47">
        <w:rPr>
          <w:rFonts w:ascii="Arial" w:hAnsi="Arial" w:cs="Arial"/>
          <w:b/>
          <w:sz w:val="20"/>
          <w:lang w:val="x-none" w:eastAsia="x-none"/>
        </w:rPr>
        <w:t>Uwagi</w:t>
      </w:r>
      <w:r w:rsidRPr="00391E47">
        <w:rPr>
          <w:rFonts w:ascii="Arial" w:hAnsi="Arial" w:cs="Arial"/>
          <w:sz w:val="20"/>
          <w:lang w:val="x-none" w:eastAsia="x-none"/>
        </w:rPr>
        <w:t xml:space="preserve"> :</w:t>
      </w:r>
    </w:p>
    <w:p w:rsidR="00391E47" w:rsidRPr="00391E47" w:rsidRDefault="00391E47" w:rsidP="00C45C9C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391E47">
        <w:rPr>
          <w:rFonts w:ascii="Arial" w:hAnsi="Arial" w:cs="Arial"/>
          <w:sz w:val="20"/>
          <w:lang w:val="x-none" w:eastAsia="x-none"/>
        </w:rPr>
        <w:t>1.  Niespełnienie któregoś z podanych warunków granicznych (wymaganych) skutkować będzie odrzuceniem oferty.</w:t>
      </w:r>
    </w:p>
    <w:p w:rsidR="00391E47" w:rsidRPr="00391E47" w:rsidRDefault="00391E47" w:rsidP="00C45C9C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391E47">
        <w:rPr>
          <w:rFonts w:ascii="Arial" w:hAnsi="Arial" w:cs="Arial"/>
          <w:sz w:val="20"/>
          <w:lang w:val="x-none" w:eastAsia="x-none"/>
        </w:rPr>
        <w:t>2.   Oferta nie spełniająca wymogów granicznych podlega odrzuceniu bez dalszego rozpatrywania.</w:t>
      </w:r>
    </w:p>
    <w:p w:rsidR="00391E47" w:rsidRPr="00391E47" w:rsidRDefault="00391E47" w:rsidP="00C45C9C">
      <w:pPr>
        <w:tabs>
          <w:tab w:val="center" w:pos="4536"/>
          <w:tab w:val="right" w:pos="9072"/>
        </w:tabs>
        <w:jc w:val="both"/>
        <w:rPr>
          <w:rFonts w:ascii="Arial" w:hAnsi="Arial" w:cs="Arial"/>
          <w:sz w:val="20"/>
          <w:lang w:val="x-none" w:eastAsia="x-none"/>
        </w:rPr>
      </w:pPr>
      <w:r w:rsidRPr="00391E47">
        <w:rPr>
          <w:rFonts w:ascii="Arial" w:hAnsi="Arial" w:cs="Arial"/>
          <w:sz w:val="20"/>
          <w:lang w:val="x-none" w:eastAsia="x-none"/>
        </w:rPr>
        <w:t xml:space="preserve">3. Zamawiający zastrzega sobie prawo sprawdzenia podanych przez oferenta parametrów </w:t>
      </w:r>
      <w:r w:rsidR="00C45C9C">
        <w:rPr>
          <w:rFonts w:ascii="Arial" w:hAnsi="Arial" w:cs="Arial"/>
          <w:sz w:val="20"/>
          <w:lang w:eastAsia="x-none"/>
        </w:rPr>
        <w:t xml:space="preserve">                                  </w:t>
      </w:r>
      <w:r w:rsidRPr="00391E47">
        <w:rPr>
          <w:rFonts w:ascii="Arial" w:hAnsi="Arial" w:cs="Arial"/>
          <w:sz w:val="20"/>
          <w:lang w:val="x-none" w:eastAsia="x-none"/>
        </w:rPr>
        <w:t>w dostępnych materiałach technicznych lub u producenta w przypadku powstania wątpliwości co do ich prawdziwości.</w:t>
      </w:r>
    </w:p>
    <w:p w:rsidR="00391E47" w:rsidRDefault="00391E47" w:rsidP="00C45C9C">
      <w:pPr>
        <w:jc w:val="both"/>
        <w:rPr>
          <w:rFonts w:ascii="Arial" w:hAnsi="Arial" w:cs="Arial"/>
          <w:sz w:val="20"/>
        </w:rPr>
      </w:pPr>
      <w:r w:rsidRPr="00391E47">
        <w:rPr>
          <w:rFonts w:ascii="Arial" w:hAnsi="Arial" w:cs="Arial"/>
          <w:b/>
          <w:sz w:val="20"/>
        </w:rPr>
        <w:t>Oświadczamy</w:t>
      </w:r>
      <w:r w:rsidRPr="00391E47">
        <w:rPr>
          <w:rFonts w:ascii="Arial" w:hAnsi="Arial" w:cs="Arial"/>
          <w:sz w:val="20"/>
        </w:rPr>
        <w:t xml:space="preserve">, iż wyspecyfikowane powyżej urządzenia są kompletne i będą po montażu </w:t>
      </w:r>
      <w:r w:rsidR="00C45C9C">
        <w:rPr>
          <w:rFonts w:ascii="Arial" w:hAnsi="Arial" w:cs="Arial"/>
          <w:sz w:val="20"/>
        </w:rPr>
        <w:t xml:space="preserve">                                     </w:t>
      </w:r>
      <w:r w:rsidRPr="00391E47">
        <w:rPr>
          <w:rFonts w:ascii="Arial" w:hAnsi="Arial" w:cs="Arial"/>
          <w:sz w:val="20"/>
        </w:rPr>
        <w:t>i zainstalowaniu gotowe do podjęcia prawidłowej pracy bez żadnych dodatkowych zakupów.</w:t>
      </w:r>
    </w:p>
    <w:p w:rsidR="00C45C9C" w:rsidRDefault="00C45C9C" w:rsidP="00C45C9C">
      <w:pPr>
        <w:jc w:val="both"/>
        <w:rPr>
          <w:rFonts w:ascii="Arial" w:hAnsi="Arial" w:cs="Arial"/>
          <w:sz w:val="20"/>
        </w:rPr>
      </w:pPr>
    </w:p>
    <w:p w:rsidR="00C45C9C" w:rsidRPr="00391E47" w:rsidRDefault="00C45C9C" w:rsidP="00C45C9C">
      <w:pPr>
        <w:jc w:val="both"/>
        <w:rPr>
          <w:rFonts w:ascii="Arial" w:hAnsi="Arial" w:cs="Arial"/>
          <w:sz w:val="20"/>
        </w:rPr>
      </w:pPr>
    </w:p>
    <w:p w:rsidR="00391E47" w:rsidRPr="00391E47" w:rsidRDefault="00391E47" w:rsidP="00391E47">
      <w:pPr>
        <w:ind w:firstLine="708"/>
        <w:rPr>
          <w:rFonts w:ascii="Arial" w:hAnsi="Arial" w:cs="Arial"/>
          <w:sz w:val="20"/>
        </w:rPr>
      </w:pPr>
      <w:r w:rsidRPr="00391E47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391E47" w:rsidRPr="00391E47" w:rsidRDefault="00391E47" w:rsidP="00391E47">
      <w:pPr>
        <w:rPr>
          <w:rFonts w:ascii="Arial" w:hAnsi="Arial" w:cs="Arial"/>
          <w:sz w:val="20"/>
        </w:rPr>
      </w:pPr>
    </w:p>
    <w:p w:rsidR="00391E47" w:rsidRPr="00391E47" w:rsidRDefault="00391E47" w:rsidP="00391E47">
      <w:pPr>
        <w:rPr>
          <w:rFonts w:ascii="Arial" w:hAnsi="Arial" w:cs="Arial"/>
          <w:sz w:val="20"/>
        </w:rPr>
      </w:pPr>
      <w:r w:rsidRPr="00391E47">
        <w:rPr>
          <w:rFonts w:ascii="Arial" w:hAnsi="Arial" w:cs="Arial"/>
          <w:sz w:val="20"/>
        </w:rPr>
        <w:t xml:space="preserve">                                          </w:t>
      </w:r>
      <w:r w:rsidRPr="00391E47">
        <w:rPr>
          <w:rFonts w:ascii="Arial" w:hAnsi="Arial" w:cs="Arial"/>
          <w:sz w:val="20"/>
        </w:rPr>
        <w:tab/>
      </w:r>
      <w:r w:rsidRPr="00391E47">
        <w:rPr>
          <w:rFonts w:ascii="Arial" w:hAnsi="Arial" w:cs="Arial"/>
          <w:sz w:val="20"/>
        </w:rPr>
        <w:tab/>
      </w:r>
      <w:r w:rsidRPr="00391E47">
        <w:rPr>
          <w:rFonts w:ascii="Arial" w:hAnsi="Arial" w:cs="Arial"/>
          <w:sz w:val="20"/>
        </w:rPr>
        <w:tab/>
      </w:r>
      <w:r w:rsidRPr="00391E47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391E47" w:rsidRPr="00391E47" w:rsidRDefault="00391E47" w:rsidP="00391E47">
      <w:pPr>
        <w:spacing w:after="120"/>
        <w:rPr>
          <w:rFonts w:ascii="Arial" w:hAnsi="Arial" w:cs="Arial"/>
          <w:sz w:val="20"/>
          <w:szCs w:val="20"/>
        </w:rPr>
      </w:pPr>
      <w:r w:rsidRPr="00391E4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91E47" w:rsidRPr="00391E47" w:rsidRDefault="00391E47" w:rsidP="00391E47">
      <w:pPr>
        <w:spacing w:after="120"/>
      </w:pPr>
      <w:r w:rsidRPr="00391E4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p w:rsidR="00E07B81" w:rsidRDefault="00E07B81" w:rsidP="004852DF"/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A76395"/>
    <w:multiLevelType w:val="hybridMultilevel"/>
    <w:tmpl w:val="3CBEB1E8"/>
    <w:lvl w:ilvl="0" w:tplc="FA9CCD3C">
      <w:start w:val="1"/>
      <w:numFmt w:val="bullet"/>
      <w:lvlText w:val=""/>
      <w:lvlJc w:val="left"/>
      <w:pPr>
        <w:ind w:left="2345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1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2DF"/>
    <w:rsid w:val="000272F0"/>
    <w:rsid w:val="001A3808"/>
    <w:rsid w:val="002225BF"/>
    <w:rsid w:val="00391E47"/>
    <w:rsid w:val="004136EF"/>
    <w:rsid w:val="004852DF"/>
    <w:rsid w:val="004F6712"/>
    <w:rsid w:val="0055527D"/>
    <w:rsid w:val="00561BAE"/>
    <w:rsid w:val="00590DE8"/>
    <w:rsid w:val="00747707"/>
    <w:rsid w:val="00754E94"/>
    <w:rsid w:val="00962CED"/>
    <w:rsid w:val="009C055C"/>
    <w:rsid w:val="00C45C9C"/>
    <w:rsid w:val="00CF4712"/>
    <w:rsid w:val="00D274C1"/>
    <w:rsid w:val="00DE0C81"/>
    <w:rsid w:val="00E07B81"/>
    <w:rsid w:val="00ED16B1"/>
    <w:rsid w:val="00E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B22FF-6695-4C01-9CBF-DA7EE556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52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852DF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4852DF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4852DF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4852D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4852D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852D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852D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4852D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4852D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852DF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4852DF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4852DF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4852DF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4852D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852D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852D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852D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852DF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4852D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852DF"/>
    <w:pPr>
      <w:suppressLineNumbers/>
    </w:pPr>
  </w:style>
  <w:style w:type="paragraph" w:customStyle="1" w:styleId="Akapitzlist1">
    <w:name w:val="Akapit z listą1"/>
    <w:basedOn w:val="Normalny"/>
    <w:rsid w:val="004852D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hps">
    <w:name w:val="hps"/>
    <w:rsid w:val="004852D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47C58-2EC8-443D-80BD-557A316B0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724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20</cp:revision>
  <dcterms:created xsi:type="dcterms:W3CDTF">2017-11-15T10:07:00Z</dcterms:created>
  <dcterms:modified xsi:type="dcterms:W3CDTF">2018-01-10T12:41:00Z</dcterms:modified>
</cp:coreProperties>
</file>