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29125C">
        <w:rPr>
          <w:sz w:val="20"/>
          <w:szCs w:val="20"/>
        </w:rPr>
        <w:t>3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29125C">
        <w:rPr>
          <w:sz w:val="20"/>
          <w:szCs w:val="20"/>
        </w:rPr>
        <w:t>3</w:t>
      </w:r>
      <w:r w:rsidR="00BB452E">
        <w:rPr>
          <w:sz w:val="20"/>
          <w:szCs w:val="20"/>
        </w:rPr>
        <w:t>/2</w:t>
      </w:r>
      <w:r w:rsidR="0029125C">
        <w:rPr>
          <w:sz w:val="20"/>
          <w:szCs w:val="20"/>
        </w:rPr>
        <w:t>3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EF054F">
        <w:rPr>
          <w:rFonts w:ascii="Arial" w:hAnsi="Arial" w:cs="Arial"/>
          <w:b/>
          <w:bCs/>
          <w:sz w:val="20"/>
          <w:szCs w:val="20"/>
        </w:rPr>
        <w:t>3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29125C">
        <w:rPr>
          <w:rFonts w:ascii="Arial" w:hAnsi="Arial" w:cs="Arial"/>
          <w:b/>
          <w:bCs/>
          <w:sz w:val="20"/>
          <w:szCs w:val="20"/>
          <w:lang w:val="pl-PL"/>
        </w:rPr>
        <w:t>do koagulologii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 xml:space="preserve"> 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nie starszy niż 2017 rok produkcji. Analizator po aktualnym przeglądzie serwisowym.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B560A2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 pełni zautomatyzowany składający się z części pomiarowej, wraz z komponentami niezbędnymi do jego autonomicznej obsługi( komputer, monitor), urządzenia zasilania awaryjnego UPS zapewniającego bezprzewodową pracę w przypadku braku prądu lub zaniku napięcia urządzenia dostosowane do mocy urządzeń odbiorczych.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Wydajność analizatora co najmniej 50 oznaczeń </w:t>
            </w:r>
            <w:proofErr w:type="gram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PT , </w:t>
            </w:r>
            <w:proofErr w:type="gram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APTT, D-Dimerów fibrynogenu, Antytrombiny III /godzinę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B560A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Możliwość oznaczenia: PT- czas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protrombinowy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, APTT(czas częściowej tromboplastyny po aktywacji), fibrynogenu, Antytrombiny III</w:t>
            </w:r>
            <w:r w:rsidRPr="00B560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wyliczenie INR, D-Dimerów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Możliwość oznaczeń metodami parametrów hemostazy: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wykrzepialnymi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 zasadzie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wiskozymetrii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chromogennymi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immunologicznymi.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Aparat powinien być wyposażony w system </w:t>
            </w:r>
            <w:proofErr w:type="gram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pipetujący co</w:t>
            </w:r>
            <w:proofErr w:type="gram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najmniej w dwie igły: odczynnikowa i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próbkowa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Aparat winien być wyposażony w minimum cztery kanały pomiarowe.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powinien pracować pacjent po pacjencie, z możliwością swobodnego dostawiania próbek pacjentów.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shd w:val="clear" w:color="auto" w:fill="FFFFFF"/>
                <w:lang w:eastAsia="pl-PL"/>
              </w:rPr>
              <w:t>Możliwość oznaczenia próbek cito.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9125C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Wstawienie odczynników na pokład aparatu w buteleczkach różnej wielkości, w zależności od potrzeby zamawiającego,</w:t>
            </w:r>
            <w:r w:rsidRPr="00B560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60A2">
              <w:rPr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miejsce na odczynniki chłodzone, zabezpieczone przed parowaniem.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shd w:val="clear" w:color="auto" w:fill="FFFFFF"/>
                <w:lang w:eastAsia="pl-PL"/>
              </w:rPr>
              <w:t xml:space="preserve">Automatyczna kontrola poziomu odczynników i próbek.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Automatyczny system rozcieńczania próbek, kalibratorów poza liniowością.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25C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Automatyczna kalibracja (kalibracja zapisana w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barkodzie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odczynników), dla badań PT, APTT, fibrynogenu, </w:t>
            </w:r>
            <w:proofErr w:type="gram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D-Dimery , </w:t>
            </w:r>
            <w:proofErr w:type="gram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Antytrombiny</w:t>
            </w:r>
          </w:p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Dopuszcza się użycia kalibratora (liofilizowany) do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rekalibracji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</w:t>
            </w: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Antytrombiny.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Oprogramowanie aparatu wyposażone w bazę danych pacjentów, dane kalibracji, w system </w:t>
            </w:r>
            <w:proofErr w:type="gram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wykonywanych badań, wykresy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Levely-Jennigsa</w:t>
            </w:r>
            <w:proofErr w:type="spell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, zasada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Westgarda</w:t>
            </w:r>
            <w:proofErr w:type="spell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- możliwość wydruku.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Ilość miejsc na próbki w analizatorze podstawowym(roboczy) nie mniej niż 30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Możliwość czytania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barkodów</w:t>
            </w:r>
            <w:proofErr w:type="spell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z probówek i odczynników.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Kuwety jednorazowego użytku. Analizator winień pracować w oparciu o pojedyncze, kuwety pomiarowe, ilość kuwet na pokładzie analizatora nie mniej niż 500 sztuk.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System podgrzewania (inkubacji) odczynników przed dodaniem do kuwety pomiarowej.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B560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Możliwość wykonywania badań z materiału pobranego w probówkach systemu zamkniętego i w probówkach pediatrycznych.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Archiwizacja wyników i </w:t>
            </w:r>
            <w:proofErr w:type="gram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C1DA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B560A2" w:rsidRDefault="005C1DA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B560A2" w:rsidRDefault="0029125C" w:rsidP="0029125C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Bezpłatny udział w Międzynarodowej </w:t>
            </w:r>
            <w:proofErr w:type="gram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firmy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Randox</w:t>
            </w:r>
            <w:proofErr w:type="spellEnd"/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 xml:space="preserve"> dla wszystkich parametrów wg harmonogramu</w:t>
            </w:r>
            <w:r w:rsidRPr="00B560A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29125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kontroli na koszt oferenta.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Default="005C1DA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Pr="00AA323A" w:rsidRDefault="005C1DA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</w:t>
            </w:r>
            <w:r w:rsidR="005C1DAB" w:rsidRPr="00B560A2">
              <w:rPr>
                <w:rFonts w:ascii="Arial" w:hAnsi="Arial" w:cs="Arial"/>
                <w:sz w:val="20"/>
                <w:szCs w:val="20"/>
              </w:rPr>
              <w:t>2</w:t>
            </w:r>
            <w:r w:rsidRPr="00B560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560A2" w:rsidRDefault="0029125C" w:rsidP="0029125C">
            <w:pPr>
              <w:pStyle w:val="NormalnyWeb"/>
              <w:spacing w:after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9125C">
              <w:rPr>
                <w:rFonts w:ascii="Arial" w:hAnsi="Arial" w:cs="Arial"/>
                <w:bCs/>
                <w:sz w:val="20"/>
                <w:szCs w:val="20"/>
              </w:rPr>
              <w:t xml:space="preserve">Zamawiający wymaga podłączenia analizatora/urządzenia do użytkowanego przez Zamawiającego laboratoryjnego systemu informatycznego Eskulap (LIS) firmy </w:t>
            </w:r>
            <w:proofErr w:type="spellStart"/>
            <w:r w:rsidRPr="0029125C">
              <w:rPr>
                <w:rFonts w:ascii="Arial" w:hAnsi="Arial" w:cs="Arial"/>
                <w:bCs/>
                <w:sz w:val="20"/>
                <w:szCs w:val="20"/>
              </w:rPr>
              <w:t>Nexus</w:t>
            </w:r>
            <w:proofErr w:type="spellEnd"/>
            <w:r w:rsidRPr="0029125C">
              <w:rPr>
                <w:rFonts w:ascii="Arial" w:hAnsi="Arial" w:cs="Arial"/>
                <w:bCs/>
                <w:sz w:val="20"/>
                <w:szCs w:val="20"/>
              </w:rPr>
              <w:t xml:space="preserve"> na koszt oferenta. Współpraca z LIS Eskulap musi opierać się na komunikacji dwukierunkowej umożliwiającej wymianę danych o</w:t>
            </w:r>
            <w:r w:rsidRPr="00B560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60A2">
              <w:rPr>
                <w:rFonts w:ascii="Arial" w:hAnsi="Arial" w:cs="Arial"/>
                <w:bCs/>
                <w:sz w:val="20"/>
                <w:szCs w:val="20"/>
              </w:rPr>
              <w:t>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 analizatora/urządzenia.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560A2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560A2" w:rsidRDefault="0029125C" w:rsidP="0029125C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Instrukcja obsługi i komunikaty o błędach w języku polskim.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EF054F">
        <w:trPr>
          <w:gridBefore w:val="1"/>
          <w:wBefore w:w="22" w:type="dxa"/>
          <w:trHeight w:val="2781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B560A2" w:rsidRDefault="00C46ADC" w:rsidP="0029125C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29125C" w:rsidRPr="00B560A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25C" w:rsidRPr="00B560A2" w:rsidRDefault="0029125C" w:rsidP="0029125C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Prekalibrowane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przez producenta odczynniki do parametrów</w:t>
            </w:r>
          </w:p>
          <w:p w:rsidR="0002414E" w:rsidRPr="00B560A2" w:rsidRDefault="0029125C" w:rsidP="0029125C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(dane kalibracyjne wczytane z dostarczonych z odczynnikiem </w:t>
            </w:r>
            <w:proofErr w:type="spellStart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barkodów</w:t>
            </w:r>
            <w:proofErr w:type="spellEnd"/>
            <w:r w:rsidRPr="002912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)</w:t>
            </w:r>
          </w:p>
          <w:p w:rsidR="00B560A2" w:rsidRPr="00B560A2" w:rsidRDefault="00B560A2" w:rsidP="00B560A2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  <w:r w:rsidRPr="00B560A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Zasady oceny punktowej:</w:t>
            </w:r>
          </w:p>
          <w:p w:rsidR="00B560A2" w:rsidRPr="00B560A2" w:rsidRDefault="00B560A2" w:rsidP="00B560A2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TAK – 15 pkt</w:t>
            </w:r>
          </w:p>
          <w:p w:rsidR="0029125C" w:rsidRPr="00B560A2" w:rsidRDefault="00B560A2" w:rsidP="0029125C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NIE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02414E" w:rsidRDefault="0029125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B560A2" w:rsidRDefault="001066F2" w:rsidP="0029125C">
            <w:pPr>
              <w:rPr>
                <w:rFonts w:ascii="Arial" w:hAnsi="Arial" w:cs="Arial"/>
                <w:sz w:val="20"/>
                <w:szCs w:val="20"/>
              </w:rPr>
            </w:pPr>
            <w:r w:rsidRPr="00B560A2">
              <w:rPr>
                <w:rFonts w:ascii="Arial" w:hAnsi="Arial" w:cs="Arial"/>
                <w:sz w:val="20"/>
                <w:szCs w:val="20"/>
              </w:rPr>
              <w:t>2</w:t>
            </w:r>
            <w:r w:rsidR="0029125C" w:rsidRPr="00B560A2">
              <w:rPr>
                <w:rFonts w:ascii="Arial" w:hAnsi="Arial" w:cs="Arial"/>
                <w:sz w:val="20"/>
                <w:szCs w:val="20"/>
              </w:rPr>
              <w:t>5</w:t>
            </w:r>
            <w:r w:rsidRPr="00B560A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560A2" w:rsidRPr="00B560A2" w:rsidRDefault="00B560A2" w:rsidP="00B560A2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Liniowość D-Dimerów min. 4000 z możliwością automatycznego rozcieńczenia &gt; 10000</w:t>
            </w:r>
            <w:r w:rsidR="00EF05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ng</w:t>
            </w:r>
            <w:proofErr w:type="spellEnd"/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/ml(FEU)</w:t>
            </w:r>
          </w:p>
          <w:p w:rsidR="0002414E" w:rsidRPr="00B560A2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  <w:r w:rsidRPr="00B560A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Zasady oceny punktowej:</w:t>
            </w:r>
          </w:p>
          <w:p w:rsidR="00B560A2" w:rsidRPr="00B560A2" w:rsidRDefault="00B560A2" w:rsidP="00B560A2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TAK – 5 pkt</w:t>
            </w:r>
          </w:p>
          <w:p w:rsidR="001066F2" w:rsidRPr="00B560A2" w:rsidRDefault="00B560A2" w:rsidP="00B560A2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560A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NIE –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C46ADC" w:rsidP="00C46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1066F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6AD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C46AD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 xml:space="preserve">okresowych  </w:t>
            </w:r>
            <w:bookmarkStart w:id="0" w:name="_GoBack"/>
            <w:bookmarkEnd w:id="0"/>
            <w:r w:rsidRPr="00D021B4">
              <w:rPr>
                <w:rFonts w:ascii="Arial" w:hAnsi="Arial" w:cs="Arial"/>
                <w:sz w:val="20"/>
                <w:szCs w:val="20"/>
              </w:rPr>
              <w:t>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9125C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36258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903A5"/>
    <w:rsid w:val="00AA323A"/>
    <w:rsid w:val="00AB1281"/>
    <w:rsid w:val="00B04D4A"/>
    <w:rsid w:val="00B560A2"/>
    <w:rsid w:val="00B70444"/>
    <w:rsid w:val="00B866C0"/>
    <w:rsid w:val="00BA010C"/>
    <w:rsid w:val="00BA6CD3"/>
    <w:rsid w:val="00BB452E"/>
    <w:rsid w:val="00C43E94"/>
    <w:rsid w:val="00C46ADC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EF054F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7175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dcterms:created xsi:type="dcterms:W3CDTF">2023-02-17T09:41:00Z</dcterms:created>
  <dcterms:modified xsi:type="dcterms:W3CDTF">2023-02-17T09:41:00Z</dcterms:modified>
</cp:coreProperties>
</file>