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3E1" w:rsidRPr="003D6A88" w:rsidRDefault="005C33E1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- 3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5C33E1" w:rsidRDefault="005C33E1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C33E1" w:rsidRPr="001F738B" w:rsidRDefault="005C33E1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C33E1" w:rsidRPr="001F738B" w:rsidRDefault="005C33E1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3</w:t>
      </w:r>
    </w:p>
    <w:p w:rsidR="005C33E1" w:rsidRPr="001F738B" w:rsidRDefault="005C33E1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C33E1" w:rsidRDefault="005C33E1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Pompy infuzyjne 18 szt.</w:t>
      </w:r>
    </w:p>
    <w:p w:rsidR="005C33E1" w:rsidRPr="001F738B" w:rsidRDefault="005C33E1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5C33E1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5C33E1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5C33E1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5C33E1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33E1" w:rsidRPr="001F738B" w:rsidRDefault="005C33E1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C33E1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316885" w:rsidRDefault="005C33E1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316885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33E1" w:rsidRPr="00316885" w:rsidRDefault="005C33E1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33E1" w:rsidRPr="00316885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Stosowanie strzykawek 2, 5, 10, 20, 30, 50 ml. Podać typ i producenta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C33E1" w:rsidRPr="001925E4" w:rsidRDefault="005C33E1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Strzykawki montowane od czoła a nie od góry pompy.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Ramię pompy niewychodzące poza gabaryt obudowy.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Klawiatura numeryczna umożliwiająca szybkie i bezpieczne programowanie pompy.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Wysokość pompy zapewniająca wygodną obsługę do 8 pomp, zamocowanych jedna nad drugą - maks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FF5DAA">
                <w:rPr>
                  <w:rFonts w:ascii="Arial" w:hAnsi="Arial" w:cs="Arial"/>
                  <w:sz w:val="20"/>
                  <w:szCs w:val="20"/>
                </w:rPr>
                <w:t>12 cm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Szybkość dozowania w zakresie 0,1-2000 ml/h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Programowanie parametrów infuzji w jednostkach: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ml,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ng, μg, mg,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μEq, mEq, Eq,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mIU, IU, kIU,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mIE, IE, kIE,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cal, kcal, J, kJ</w:t>
            </w:r>
          </w:p>
          <w:p w:rsidR="005C33E1" w:rsidRPr="00FF5DAA" w:rsidRDefault="005C33E1" w:rsidP="00840CA1">
            <w:pPr>
              <w:numPr>
                <w:ilvl w:val="0"/>
                <w:numId w:val="4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jednostki molowe</w:t>
            </w:r>
          </w:p>
          <w:p w:rsidR="005C33E1" w:rsidRPr="00FF5DAA" w:rsidRDefault="005C33E1" w:rsidP="00840CA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z uwzględnieniem wagi pacjenta lub nie,</w:t>
            </w:r>
          </w:p>
          <w:p w:rsidR="005C33E1" w:rsidRPr="00FF5DAA" w:rsidRDefault="005C33E1" w:rsidP="00840CA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z uwzględnieniem powierzchni pacjenta lub nie,</w:t>
            </w:r>
          </w:p>
          <w:p w:rsidR="005C33E1" w:rsidRPr="00FF5DAA" w:rsidRDefault="005C33E1" w:rsidP="00840CA1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na min, godz. dobę.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Wymagane tryby dozowania:</w:t>
            </w:r>
          </w:p>
          <w:p w:rsidR="005C33E1" w:rsidRPr="00FF5DAA" w:rsidRDefault="005C33E1" w:rsidP="00840CA1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Infuzja ciągła,</w:t>
            </w:r>
          </w:p>
          <w:p w:rsidR="005C33E1" w:rsidRPr="00FF5DAA" w:rsidRDefault="005C33E1" w:rsidP="00840CA1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Infuzja bolusowa (z przerwą),</w:t>
            </w:r>
          </w:p>
          <w:p w:rsidR="005C33E1" w:rsidRPr="00FF5DAA" w:rsidRDefault="005C33E1" w:rsidP="00840CA1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Infuzja profilowa (min 12 faz infuzji),</w:t>
            </w:r>
          </w:p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Infuzja narastanie / ciągła / opadanie.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Dokładność infuzji 2%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Programowanie parametrów podaży Bolus-a i dawki indukcyjnej:</w:t>
            </w:r>
          </w:p>
          <w:p w:rsidR="005C33E1" w:rsidRPr="00FF5DAA" w:rsidRDefault="005C33E1" w:rsidP="00840CA1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objętość / dawka</w:t>
            </w:r>
          </w:p>
          <w:p w:rsidR="005C33E1" w:rsidRPr="00FF5DAA" w:rsidRDefault="005C33E1" w:rsidP="00840CA1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czas lub szybkość podaży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Automatyczna zmniejszenie szybkości podaży bolusa, w celu uniknięcia przerwania infuzji na skutek alarmu okluzji.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Biblioteka leków – możliwość zapisania w pompie procedur dozowania leków, każda procedura złożona co najmniej z: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nazwy leku,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min. 5 koncentracji leku,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szybkości dozowania (dawkowanie),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całkowitej objętości (dawki) infuzji,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parametrów bolusa, oraz dawki indukcyjnej,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limitów dla wymienionych parametrów infuzji:</w:t>
            </w:r>
          </w:p>
          <w:p w:rsidR="005C33E1" w:rsidRPr="00FF5DAA" w:rsidRDefault="005C33E1" w:rsidP="00840CA1">
            <w:pPr>
              <w:numPr>
                <w:ilvl w:val="1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miękkich, ostrzegających o przekroczeniu zalecanych wartości parametrów, </w:t>
            </w:r>
          </w:p>
          <w:p w:rsidR="005C33E1" w:rsidRPr="00FF5DAA" w:rsidRDefault="005C33E1" w:rsidP="00840CA1">
            <w:pPr>
              <w:numPr>
                <w:ilvl w:val="1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twardych – blokujących możliwość wprowadzenia wartości z poza ich zakresu.</w:t>
            </w:r>
          </w:p>
          <w:p w:rsidR="005C33E1" w:rsidRPr="00FF5DAA" w:rsidRDefault="005C33E1" w:rsidP="00840CA1">
            <w:pPr>
              <w:numPr>
                <w:ilvl w:val="0"/>
                <w:numId w:val="7"/>
              </w:num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Notatki doradczej możliwej do odczytania przed rozpoczęciem infuzji.</w:t>
            </w:r>
          </w:p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Podział biblioteki na osobne grupy dedykowane poszczególnym oddziałom szpitalnym, do 40 oddziałów. Wybór oddziału dostępny w pompie.</w:t>
            </w:r>
          </w:p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Podział biblioteki dedykowanej oddziałom na 40 kategorii lekowych.</w:t>
            </w:r>
          </w:p>
          <w:p w:rsidR="005C33E1" w:rsidRPr="00FF5DAA" w:rsidRDefault="005C33E1" w:rsidP="00840CA1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Pojemność biblioteki 5000 procedur dozowania leków.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Dostępność polskojęzycznego oprogramowania komputerowego do tworzenia i przesyłania do pompy biblioteki leków.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Czytelny, kolorowy wyświetlacz z możliwością wyświetlenia następujących informacji jednocześnie: 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nazwa leku,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koncentracja leku,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nazwa oddziału wybranego w bibliotece,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prędkość infuzji,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podana dawka,</w:t>
            </w:r>
          </w:p>
          <w:p w:rsidR="005C33E1" w:rsidRPr="00FF5DAA" w:rsidRDefault="005C33E1" w:rsidP="00840C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stan naładowania akumulatora,</w:t>
            </w:r>
          </w:p>
          <w:p w:rsidR="005C33E1" w:rsidRPr="00FF5DAA" w:rsidRDefault="005C33E1" w:rsidP="00840CA1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aktualne ciśnienie w drenie, w formie graficznej,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382F85">
        <w:trPr>
          <w:trHeight w:val="468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Ekran dotykowy, przyspieszający wybór funkcji pompy.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382F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Napisy na wyświetlaczu w języku polskim.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Regulowane progi ciśnienia okluzji,  12  poziomów.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Zmiana progu ciśnienia okluzji bez przerywania infuzji.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840CA1">
        <w:trPr>
          <w:trHeight w:val="433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Automatyczna redukcja bolusa okluzyjnego.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E1" w:rsidRPr="001925E4" w:rsidRDefault="005C33E1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FF5DAA" w:rsidRDefault="005C33E1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Priorytetowy system alarmów, zapewniający zróżnicowany sygnał dźwiękowy i świetlny, zależnie od stopnia zagrożenia.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382F85" w:rsidRDefault="005C33E1" w:rsidP="00382F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2F85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C33E1" w:rsidRPr="00382F85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Możliwość instalacji pompy w stacji dokującej: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Zatrzaskowe mocowanie z automatyczną blokadą, bez konieczności przykręcania.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Alarm nieprawidłowego mocowania pomp w stacji,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Pompy mocowane niezależnie, jedna nad drugą, 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Automatyczne przyłączenie zasilania ze stacji dokującej,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Automatyczne przyłączenie portu komunikacyjnego ze stacji dokującej,</w:t>
            </w:r>
          </w:p>
          <w:p w:rsidR="005C33E1" w:rsidRPr="00FF5DAA" w:rsidRDefault="005C33E1" w:rsidP="00840CA1">
            <w:pPr>
              <w:numPr>
                <w:ilvl w:val="0"/>
                <w:numId w:val="9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Świetlna sygnalizacja stanu pomp; infuzja, alarm.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Mocowanie pojedynczej pompy do statywów lub pionowych kolumn niewymagające dołączenia jakichkolwiek części, w szczególności uchwytu mocującego, po bezpośrednim wyjęciu pompy z stacji dokującej.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Mocowanie pomp w stacji dokującej niewymagające odłączenia jakichkolwiek części, w szczególności uchwytu mocującego, po bezpośrednim zdjęciu pompy ze statywu.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Uchwyt do przenoszenia pompy na stałe związany z pompą, niewymagający odłączania przy mocowaniu pomp w stacjach dokujących.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DD4472">
            <w:p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Możliwość komunikacji pomp umieszczonych w stacjach dokujących poprzez sieć LAN z oprogramowaniem zewnętrznym, służącym do: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Podglądu przebiegu infuzji dla każdej pompy w formie danych oraz graficznego wykresu (trendu),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Podglądu parametrów infuzji dla każdej pompy,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Prezentacji alarmów w pompach oraz wyświetlania ich przyczyny,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Prezentacja przewidywanego czasu do o spodziewanej obsługi pompy.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Graficznej prezentacji rozmieszczenia łóżek na oddziale oraz statusu infuzji,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Archiwizacji informacji o przeprowadzonych infuzjach,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Połączenia z szpitalnymi bazami danych w standardzie HL7,</w:t>
            </w:r>
          </w:p>
          <w:p w:rsidR="005C33E1" w:rsidRPr="00FF5DAA" w:rsidRDefault="005C33E1" w:rsidP="00DD4472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Wpisywania do pomp w sposób automatyczny konfiguracji oraz biblioteki leków,</w:t>
            </w:r>
          </w:p>
          <w:p w:rsidR="005C33E1" w:rsidRPr="00FF5DAA" w:rsidRDefault="005C33E1" w:rsidP="00DD4472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Dostępność sieciowego, polskojęzycznego oprogramowania do monitorowania infuzji zgodnie z powyższymi wymaganiami. Brak takiego oprogramowania w ofercie wyklucza spełnienie wymagań.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FF5DA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Historia infuzji – możliwość zapamiętania min. 1000 zdarzeń oznaczonych datą i godziną zdarzenia.</w:t>
            </w:r>
          </w:p>
          <w:p w:rsidR="005C33E1" w:rsidRPr="0044390E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4390E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5C33E1" w:rsidRPr="00FF5DAA" w:rsidRDefault="005C33E1" w:rsidP="00DD447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1000 zdarzeń </w:t>
            </w:r>
            <w:r>
              <w:rPr>
                <w:rFonts w:ascii="Arial" w:hAnsi="Arial" w:cs="Arial"/>
                <w:sz w:val="20"/>
                <w:szCs w:val="20"/>
              </w:rPr>
              <w:t xml:space="preserve">(min. wymagane) </w:t>
            </w:r>
            <w:r w:rsidRPr="00FF5DAA">
              <w:rPr>
                <w:rFonts w:ascii="Arial" w:hAnsi="Arial" w:cs="Arial"/>
                <w:sz w:val="20"/>
                <w:szCs w:val="20"/>
              </w:rPr>
              <w:t>– 0 pkt</w:t>
            </w:r>
          </w:p>
          <w:p w:rsidR="005C33E1" w:rsidRPr="00FF5DAA" w:rsidRDefault="005C33E1" w:rsidP="00DD447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1001 – 1999 zdarzeń –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F5DAA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5C33E1" w:rsidRPr="00FF5DAA" w:rsidRDefault="005C33E1" w:rsidP="00DD4472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2000 i więcej zdarzeń –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F5DAA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C33E1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Klasa ochrony II, typ CF, odporność na defibrylację, ochrona obudowy IP22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FF5DA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Czas pracy z akumulatora  min. 24 h przy infuzji 5ml/h</w:t>
            </w:r>
          </w:p>
          <w:p w:rsidR="005C33E1" w:rsidRPr="0044390E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4390E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5C33E1" w:rsidRPr="00FF5DAA" w:rsidRDefault="005C33E1" w:rsidP="00DD447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24 h – 0 pkt</w:t>
            </w:r>
          </w:p>
          <w:p w:rsidR="005C33E1" w:rsidRPr="00FF5DAA" w:rsidRDefault="005C33E1" w:rsidP="00DD4472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30 h i więcej –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Pr="001925E4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Czas ładowania akumulatora do 100% po pełnym rozładowaniu – poniżej 5 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33E1" w:rsidRPr="001925E4" w:rsidTr="00FF5DA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33E1" w:rsidRDefault="005C33E1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33E1" w:rsidRPr="00FF5DAA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FF5DAA">
                <w:rPr>
                  <w:rFonts w:ascii="Arial" w:hAnsi="Arial" w:cs="Arial"/>
                  <w:sz w:val="20"/>
                  <w:szCs w:val="20"/>
                </w:rPr>
                <w:t>3 kg</w:t>
              </w:r>
            </w:smartTag>
            <w:r w:rsidRPr="00FF5DA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C33E1" w:rsidRPr="0044390E" w:rsidRDefault="005C33E1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4390E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5C33E1" w:rsidRPr="00FF5DAA" w:rsidRDefault="005C33E1" w:rsidP="00FF5DA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 kg"/>
              </w:smartTagPr>
              <w:r w:rsidRPr="00FF5DAA">
                <w:rPr>
                  <w:rFonts w:ascii="Arial" w:hAnsi="Arial" w:cs="Arial"/>
                  <w:sz w:val="20"/>
                  <w:szCs w:val="20"/>
                </w:rPr>
                <w:t>3 kg</w:t>
              </w:r>
            </w:smartTag>
            <w:r w:rsidRPr="00FF5DA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  <w:p w:rsidR="005C33E1" w:rsidRPr="00FF5DAA" w:rsidRDefault="005C33E1" w:rsidP="00FF5DAA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FF5DAA">
              <w:rPr>
                <w:rFonts w:ascii="Arial" w:hAnsi="Arial" w:cs="Arial"/>
                <w:sz w:val="20"/>
                <w:szCs w:val="20"/>
              </w:rPr>
              <w:t>2,5 i mniej –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C33E1" w:rsidRPr="001925E4" w:rsidRDefault="005C33E1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5C33E1" w:rsidRPr="001925E4" w:rsidRDefault="005C33E1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C33E1" w:rsidRPr="00E31A15" w:rsidRDefault="005C33E1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5C33E1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33E1" w:rsidRPr="00E31A15" w:rsidRDefault="005C33E1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5C33E1" w:rsidRPr="00E31A15" w:rsidRDefault="005C33E1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5C33E1" w:rsidRPr="00E31A15" w:rsidRDefault="005C33E1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5C33E1" w:rsidRPr="00E31A15" w:rsidTr="0044390E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Gwarancja min. 24 m-cy (bezpłatne przeglądy w okresie gwarancji, min. 1x/rok lub częściej, zgodnie z zaleceniami producenta)</w:t>
            </w:r>
          </w:p>
          <w:p w:rsidR="005C33E1" w:rsidRPr="0044390E" w:rsidRDefault="005C33E1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44390E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5C33E1" w:rsidRPr="0044390E" w:rsidRDefault="005C33E1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4390E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5C33E1" w:rsidRPr="0044390E" w:rsidRDefault="005C33E1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4390E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44390E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4390E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5C33E1" w:rsidRPr="0044390E" w:rsidRDefault="005C33E1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4390E">
              <w:rPr>
                <w:rFonts w:ascii="Arial" w:hAnsi="Arial" w:cs="Arial"/>
                <w:sz w:val="20"/>
                <w:szCs w:val="20"/>
              </w:rPr>
              <w:t xml:space="preserve"> 8 tygodni - 0 pkt</w:t>
            </w:r>
          </w:p>
          <w:p w:rsidR="005C33E1" w:rsidRPr="0044390E" w:rsidRDefault="005C33E1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4390E">
              <w:rPr>
                <w:rFonts w:ascii="Arial" w:hAnsi="Arial" w:cs="Arial"/>
                <w:sz w:val="20"/>
                <w:szCs w:val="20"/>
              </w:rPr>
              <w:t xml:space="preserve"> 6 tygodni - 5 pkt</w:t>
            </w:r>
          </w:p>
          <w:p w:rsidR="005C33E1" w:rsidRPr="0044390E" w:rsidRDefault="005C33E1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szCs w:val="20"/>
              </w:rPr>
              <w:t xml:space="preserve"> 4 tygodnie- 10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5C33E1" w:rsidRPr="0044390E" w:rsidRDefault="005C33E1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5C33E1" w:rsidRPr="0044390E" w:rsidRDefault="005C33E1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5C33E1" w:rsidRPr="0044390E" w:rsidRDefault="005C33E1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5C33E1" w:rsidRPr="0044390E" w:rsidRDefault="005C33E1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5C33E1" w:rsidRPr="0044390E" w:rsidRDefault="005C33E1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C33E1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44390E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44390E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44390E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4390E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C33E1" w:rsidRPr="00E31A15" w:rsidRDefault="005C33E1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5C33E1" w:rsidRDefault="005C33E1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5C33E1" w:rsidRPr="00E31A15" w:rsidRDefault="005C33E1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5C33E1" w:rsidRPr="00E31A15" w:rsidRDefault="005C33E1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5C33E1" w:rsidRPr="00E31A15" w:rsidRDefault="005C33E1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5C33E1" w:rsidRPr="00E31A15" w:rsidRDefault="005C33E1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5C33E1" w:rsidRDefault="005C33E1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5C33E1" w:rsidRDefault="005C33E1" w:rsidP="0044390E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</w:t>
      </w:r>
    </w:p>
    <w:p w:rsidR="005C33E1" w:rsidRPr="00E31A15" w:rsidRDefault="005C33E1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5C33E1" w:rsidRPr="00E31A15" w:rsidRDefault="005C33E1" w:rsidP="00E31A15">
      <w:pPr>
        <w:rPr>
          <w:rFonts w:ascii="Arial" w:hAnsi="Arial" w:cs="Arial"/>
          <w:sz w:val="20"/>
        </w:rPr>
      </w:pPr>
    </w:p>
    <w:p w:rsidR="005C33E1" w:rsidRPr="00E31A15" w:rsidRDefault="005C33E1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5C33E1" w:rsidRPr="00E31A15" w:rsidRDefault="005C33E1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33E1" w:rsidRPr="00E31A15" w:rsidRDefault="005C33E1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5C33E1" w:rsidRDefault="005C33E1" w:rsidP="00095818"/>
    <w:sectPr w:rsidR="005C33E1" w:rsidSect="0044390E">
      <w:pgSz w:w="11906" w:h="16838"/>
      <w:pgMar w:top="899" w:right="1417" w:bottom="89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6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95818"/>
    <w:rsid w:val="000A53B2"/>
    <w:rsid w:val="00104D3F"/>
    <w:rsid w:val="001925E4"/>
    <w:rsid w:val="001D1B56"/>
    <w:rsid w:val="001F738B"/>
    <w:rsid w:val="002D7E13"/>
    <w:rsid w:val="003150FC"/>
    <w:rsid w:val="00316885"/>
    <w:rsid w:val="003371ED"/>
    <w:rsid w:val="0035707B"/>
    <w:rsid w:val="0038022A"/>
    <w:rsid w:val="00382F85"/>
    <w:rsid w:val="00390D2F"/>
    <w:rsid w:val="003D051A"/>
    <w:rsid w:val="003D6A88"/>
    <w:rsid w:val="0044390E"/>
    <w:rsid w:val="004A4644"/>
    <w:rsid w:val="005021F1"/>
    <w:rsid w:val="005041A1"/>
    <w:rsid w:val="00510BAA"/>
    <w:rsid w:val="00512479"/>
    <w:rsid w:val="0052612F"/>
    <w:rsid w:val="005C33E1"/>
    <w:rsid w:val="00675C48"/>
    <w:rsid w:val="006900B2"/>
    <w:rsid w:val="006E2F95"/>
    <w:rsid w:val="007B25B4"/>
    <w:rsid w:val="007B5F1B"/>
    <w:rsid w:val="00801C51"/>
    <w:rsid w:val="00827171"/>
    <w:rsid w:val="00840CA1"/>
    <w:rsid w:val="00846B21"/>
    <w:rsid w:val="00866C12"/>
    <w:rsid w:val="00896128"/>
    <w:rsid w:val="008A054B"/>
    <w:rsid w:val="008C05AA"/>
    <w:rsid w:val="008C3A78"/>
    <w:rsid w:val="008E13C8"/>
    <w:rsid w:val="00903371"/>
    <w:rsid w:val="009207EC"/>
    <w:rsid w:val="00924254"/>
    <w:rsid w:val="009468CA"/>
    <w:rsid w:val="00971D87"/>
    <w:rsid w:val="009F099B"/>
    <w:rsid w:val="00A24FEA"/>
    <w:rsid w:val="00A41BA0"/>
    <w:rsid w:val="00A83426"/>
    <w:rsid w:val="00AB0A0E"/>
    <w:rsid w:val="00AD5E44"/>
    <w:rsid w:val="00B10011"/>
    <w:rsid w:val="00B2387C"/>
    <w:rsid w:val="00B6547E"/>
    <w:rsid w:val="00B71C42"/>
    <w:rsid w:val="00B96450"/>
    <w:rsid w:val="00C7428E"/>
    <w:rsid w:val="00C90168"/>
    <w:rsid w:val="00DB029C"/>
    <w:rsid w:val="00DB1449"/>
    <w:rsid w:val="00DB3D31"/>
    <w:rsid w:val="00DB6515"/>
    <w:rsid w:val="00DD4472"/>
    <w:rsid w:val="00E05632"/>
    <w:rsid w:val="00E07B81"/>
    <w:rsid w:val="00E20BAF"/>
    <w:rsid w:val="00E31A15"/>
    <w:rsid w:val="00E74264"/>
    <w:rsid w:val="00E964D0"/>
    <w:rsid w:val="00F6736A"/>
    <w:rsid w:val="00FB268E"/>
    <w:rsid w:val="00FB7AA3"/>
    <w:rsid w:val="00FC5FDA"/>
    <w:rsid w:val="00FD236A"/>
    <w:rsid w:val="00FD2CB9"/>
    <w:rsid w:val="00FE4D96"/>
    <w:rsid w:val="00FF1419"/>
    <w:rsid w:val="00FF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27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1234</Words>
  <Characters>7409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9</cp:revision>
  <dcterms:created xsi:type="dcterms:W3CDTF">2018-03-08T13:31:00Z</dcterms:created>
  <dcterms:modified xsi:type="dcterms:W3CDTF">2018-03-13T13:46:00Z</dcterms:modified>
</cp:coreProperties>
</file>