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9B4" w:rsidRPr="001379B4" w:rsidRDefault="001379B4" w:rsidP="001379B4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1379B4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Załącznik </w:t>
      </w:r>
      <w:proofErr w:type="gramStart"/>
      <w:r w:rsidRPr="001379B4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nr 2-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2</w:t>
      </w:r>
      <w:r w:rsidRPr="001379B4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</w:t>
      </w:r>
      <w:proofErr w:type="gramEnd"/>
      <w:r w:rsidRPr="001379B4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</w:t>
      </w:r>
      <w:r w:rsidRPr="001379B4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Pr="001379B4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ZOZ/DZP/PN/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8</w:t>
      </w:r>
      <w:r w:rsidRPr="001379B4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/2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4</w:t>
      </w:r>
    </w:p>
    <w:p w:rsidR="001379B4" w:rsidRPr="001379B4" w:rsidRDefault="001379B4" w:rsidP="001379B4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1379B4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</w:p>
    <w:p w:rsidR="001379B4" w:rsidRPr="001379B4" w:rsidRDefault="001379B4" w:rsidP="001379B4">
      <w:pPr>
        <w:suppressAutoHyphens w:val="0"/>
        <w:jc w:val="center"/>
        <w:rPr>
          <w:rFonts w:ascii="Arial" w:hAnsi="Arial" w:cs="Arial"/>
          <w:b/>
          <w:sz w:val="20"/>
        </w:rPr>
      </w:pPr>
      <w:r w:rsidRPr="001379B4">
        <w:rPr>
          <w:rFonts w:ascii="Arial" w:hAnsi="Arial" w:cs="Arial"/>
          <w:b/>
          <w:sz w:val="20"/>
        </w:rPr>
        <w:t>OPIS PRZEDMIOTU ZAMÓWIENIA</w:t>
      </w:r>
    </w:p>
    <w:p w:rsidR="001379B4" w:rsidRPr="001379B4" w:rsidRDefault="001379B4" w:rsidP="001379B4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</w:p>
    <w:p w:rsidR="001379B4" w:rsidRPr="001379B4" w:rsidRDefault="001379B4" w:rsidP="001379B4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1379B4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Zadanie nr </w:t>
      </w:r>
      <w:r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>2</w:t>
      </w:r>
    </w:p>
    <w:p w:rsidR="00DD1113" w:rsidRDefault="00DD111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DD1113" w:rsidRDefault="00DD1113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</w:p>
    <w:p w:rsidR="00DD1113" w:rsidRDefault="00E12B6F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Analizator do badań z zakresu serologii </w:t>
      </w:r>
      <w:r>
        <w:rPr>
          <w:rFonts w:ascii="Arial" w:hAnsi="Arial" w:cs="Arial"/>
          <w:b/>
          <w:bCs/>
          <w:sz w:val="20"/>
          <w:szCs w:val="20"/>
        </w:rPr>
        <w:t>1 szt (dzierżawa) na 36 miesięcy</w:t>
      </w:r>
    </w:p>
    <w:p w:rsidR="00DD1113" w:rsidRDefault="00DD1113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</w:p>
    <w:p w:rsidR="00DD1113" w:rsidRDefault="00DD1113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</w:p>
    <w:tbl>
      <w:tblPr>
        <w:tblW w:w="947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52"/>
        <w:gridCol w:w="4146"/>
        <w:gridCol w:w="1403"/>
        <w:gridCol w:w="3233"/>
      </w:tblGrid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6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6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D1113" w:rsidRDefault="00E12B6F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DD1113" w:rsidRDefault="00E12B6F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DD1113" w:rsidRDefault="00E12B6F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DD1113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6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0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D1113" w:rsidRDefault="00DD1113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113" w:rsidRDefault="00DD1113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pStyle w:val="Zawartotabeli"/>
              <w:spacing w:line="252" w:lineRule="auto"/>
              <w:rPr>
                <w:color w:val="111111"/>
              </w:rPr>
            </w:pPr>
            <w:r>
              <w:rPr>
                <w:rFonts w:ascii="Arial" w:hAnsi="Arial" w:cs="Arial"/>
                <w:bCs/>
                <w:color w:val="111111"/>
                <w:sz w:val="20"/>
                <w:szCs w:val="20"/>
              </w:rPr>
              <w:t xml:space="preserve">Urządzenie </w:t>
            </w:r>
            <w:proofErr w:type="gramStart"/>
            <w:r>
              <w:rPr>
                <w:rFonts w:ascii="Arial" w:hAnsi="Arial" w:cs="Arial"/>
                <w:bCs/>
                <w:color w:val="111111"/>
                <w:sz w:val="20"/>
                <w:szCs w:val="20"/>
              </w:rPr>
              <w:t>nowe  rok</w:t>
            </w:r>
            <w:proofErr w:type="gramEnd"/>
            <w:r>
              <w:rPr>
                <w:rFonts w:ascii="Arial" w:hAnsi="Arial" w:cs="Arial"/>
                <w:bCs/>
                <w:color w:val="111111"/>
                <w:sz w:val="20"/>
                <w:szCs w:val="20"/>
              </w:rPr>
              <w:t xml:space="preserve"> produkcji nie starszy niż 2023.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1113" w:rsidRDefault="00E12B6F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Tak/Podać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DD1113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D1113">
        <w:trPr>
          <w:trHeight w:val="554"/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Analizator automatyczny,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nablatowy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. Jeżeli wymagany jest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stół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,dostawa</w:t>
            </w:r>
            <w:proofErr w:type="spellEnd"/>
            <w:proofErr w:type="gramEnd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i montaż na koszt oferenta. Szerokość analizatora nie więcej niż 110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cm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,głębokość</w:t>
            </w:r>
            <w:proofErr w:type="spellEnd"/>
            <w:proofErr w:type="gramEnd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nie więcej niż 72 cm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Analizator automatyczny pracujący w oparciu o technikę testów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mikrokolumnowych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żelowych i wykonujący badania:</w:t>
            </w:r>
          </w:p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- Badanie grupy krwi z badaniem izoaglutynin grupowych na krwinkach A1, B- zgodnie z zaleceniem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IHiT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(wliczona codzienna kontrola zestawu)</w:t>
            </w:r>
          </w:p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- Potwierdzenie grupy krwi ABO i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RhD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biorcy i dawcy zgodnie z zaleceniem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IHiT</w:t>
            </w:r>
            <w:proofErr w:type="spellEnd"/>
          </w:p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- Badanie przeglądowe przeciwciał pośrednim testem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antyglobulinowym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. Mikrokarty wypełnione surowicą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antyglobulinową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poliwalentną (wliczona kontrola wewnętrzna)</w:t>
            </w:r>
          </w:p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- Próba zgodności pomiędzy biorcą a dawcą krwi -pośredni test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antyglobulinowy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z surowicą poliwalentną</w:t>
            </w:r>
          </w:p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- Badanie grupy krwi 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noworodka  - zgodnie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 z zaleceniem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IHiT</w:t>
            </w:r>
            <w:proofErr w:type="spellEnd"/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System pracy w pełni zautomatyzowany od pobrania próbki z probówki do przesłania wyniku do komputera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D1113">
        <w:trPr>
          <w:trHeight w:val="552"/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Analizator automatyczny z dostępną funkcją wykonywania badań pilnych „cito”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Analizator wyposażony w rotor na próbki o pojemności minimum 48 próbek badanych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D1113">
        <w:trPr>
          <w:trHeight w:val="549"/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Automatyczny odczyt kart, próbek, odczynników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Analizator wyposażony w zewnętrzny system podtrzymania napięcia UPS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Możliwość dostawiana kaset i odczynników bez przerwania pracy analizatora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Analizator wyposażony w system detekcji skrzepu i zapobiegający złamaniu igły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Analizator wyposażony w system ciągłego monitorowania odczynników, kaset, płynów myjących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Analizator wyposażony w system otwierania do każdego rodzaju kaset zabezpieczający przed kontaminacją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Analizator umożliwia wykorzystanie częściowo zużytych kart/wykorzystanie każdej kolumny/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trHeight w:val="494"/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Analizator wyposażony w automatyczny system usuwania zużytych kart wykluczający kontakt z materiałem zakaźnym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Archiwizacja danych bezpośrednio z analizatora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Wymagane zabezpieczenie systemu automatycznego manualnym systemem backup pracującym na kompatybilnym z systemem głównym odczynnikach. System backup w postaci wirówki, inkubatora i pipety.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Wbudowany system kontroli jakości dla poszczególnych modułów analizatora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;-wirówki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( kontrola prędkości wirowania),-inkubatora (kontrola temperatury inkubacji),</w:t>
            </w:r>
          </w:p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-głowicy pipetującej ( kontrola objętości pipetowania próbek i odczynników)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 xml:space="preserve">Bezpłatny udział w zewnętrznej certyfikowanej 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kontroli jakości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, minimum 4 razy w roku.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Analizator w 100% wykonujący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mikrokolumny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na kartach/kasetach,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otwierający podczas badania pojedyncze kolumny i jednocześnie dozujący materiał badany.</w:t>
            </w:r>
          </w:p>
          <w:p w:rsidR="00DD1113" w:rsidRPr="00B80FBB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  <w:r w:rsidRPr="00B80FBB">
              <w:rPr>
                <w:rFonts w:ascii="Arial" w:hAnsi="Arial" w:cs="Arial"/>
                <w:color w:val="000000"/>
                <w:sz w:val="20"/>
                <w:szCs w:val="20"/>
                <w:u w:val="single"/>
                <w:lang w:eastAsia="pl-PL"/>
              </w:rPr>
              <w:t>Zasada oceny punktowej:</w:t>
            </w:r>
          </w:p>
          <w:p w:rsidR="00DD1113" w:rsidRDefault="00E12B6F">
            <w:pPr>
              <w:widowControl w:val="0"/>
              <w:spacing w:beforeAutospacing="1"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Tak 10 pkt</w:t>
            </w:r>
          </w:p>
          <w:p w:rsidR="00DD1113" w:rsidRDefault="00E12B6F">
            <w:pPr>
              <w:widowControl w:val="0"/>
              <w:spacing w:beforeAutospacing="1"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Nie 0 pkt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Konserwacja analizatora wykonywana przez użytkownika i przewidziana przez producenta nie częściej niż 1 raz w miesiącu-potwierdzenie w materiałach producenta.</w:t>
            </w:r>
          </w:p>
          <w:p w:rsidR="00DD1113" w:rsidRPr="00B80FBB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  <w:r w:rsidRPr="00B80FBB">
              <w:rPr>
                <w:rFonts w:ascii="Arial" w:hAnsi="Arial" w:cs="Arial"/>
                <w:color w:val="000000"/>
                <w:sz w:val="20"/>
                <w:szCs w:val="20"/>
                <w:u w:val="single"/>
                <w:lang w:eastAsia="pl-PL"/>
              </w:rPr>
              <w:lastRenderedPageBreak/>
              <w:t>Zasada oceny punktowej:</w:t>
            </w:r>
          </w:p>
          <w:p w:rsidR="00DD1113" w:rsidRDefault="00E12B6F">
            <w:pPr>
              <w:widowControl w:val="0"/>
              <w:spacing w:beforeAutospacing="1"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Tak 10 pkt</w:t>
            </w:r>
          </w:p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Nie 0 pkt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Nie/Podać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Karty do oznaczeń grup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krwi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,kontroli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grupy krwi biorcy i dawcy zawierają kolumnę/kolumny z kontrolą wewnętrzną</w:t>
            </w:r>
          </w:p>
          <w:p w:rsidR="00DD1113" w:rsidRPr="00B80FBB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  <w:r w:rsidRPr="00B80FBB">
              <w:rPr>
                <w:rFonts w:ascii="Arial" w:hAnsi="Arial" w:cs="Arial"/>
                <w:color w:val="000000"/>
                <w:sz w:val="20"/>
                <w:szCs w:val="20"/>
                <w:u w:val="single"/>
                <w:lang w:eastAsia="pl-PL"/>
              </w:rPr>
              <w:t>Zasada oceny punktowej:</w:t>
            </w:r>
          </w:p>
          <w:p w:rsidR="00DD1113" w:rsidRDefault="00E12B6F">
            <w:pPr>
              <w:widowControl w:val="0"/>
              <w:spacing w:beforeAutospacing="1" w:after="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Tak 5 pkt</w:t>
            </w:r>
          </w:p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Nie 0 pkt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Karty grupy krwi noworodka zawierające</w:t>
            </w:r>
          </w:p>
          <w:p w:rsidR="00DD1113" w:rsidRDefault="00E12B6F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a</w:t>
            </w:r>
            <w:proofErr w:type="gramEnd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) 2 odczynniki anty-D z dwóch różnych</w:t>
            </w:r>
          </w:p>
          <w:p w:rsidR="00DD1113" w:rsidRDefault="00E12B6F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klonów</w:t>
            </w:r>
            <w:proofErr w:type="gramEnd"/>
            <w:r w:rsidR="00B80FBB"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(anty-DVI+ oraz anty-D VI-0</w:t>
            </w:r>
          </w:p>
          <w:p w:rsidR="00DD1113" w:rsidRDefault="00E12B6F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b</w:t>
            </w:r>
            <w:proofErr w:type="gramEnd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Mikrokolumny</w:t>
            </w:r>
            <w:proofErr w:type="spellEnd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 xml:space="preserve"> żelowe do BTA</w:t>
            </w:r>
          </w:p>
          <w:p w:rsidR="00DD1113" w:rsidRDefault="00E12B6F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wypełnione</w:t>
            </w:r>
            <w:proofErr w:type="gramEnd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 xml:space="preserve"> surowicą poliwalentną i</w:t>
            </w:r>
          </w:p>
          <w:p w:rsidR="00DD1113" w:rsidRDefault="00E12B6F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monowalentną</w:t>
            </w:r>
            <w:proofErr w:type="spellEnd"/>
            <w:proofErr w:type="gramEnd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IgG</w:t>
            </w:r>
            <w:proofErr w:type="spellEnd"/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)</w:t>
            </w:r>
          </w:p>
          <w:p w:rsidR="00DD1113" w:rsidRPr="00B80FBB" w:rsidRDefault="00E12B6F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  <w:u w:val="single"/>
                <w:lang w:eastAsia="pl-PL"/>
              </w:rPr>
            </w:pPr>
            <w:r w:rsidRPr="00B80FBB">
              <w:rPr>
                <w:rFonts w:ascii="Arial" w:hAnsi="Arial" w:cs="Arial"/>
                <w:color w:val="auto"/>
                <w:sz w:val="20"/>
                <w:szCs w:val="20"/>
                <w:u w:val="single"/>
                <w:lang w:eastAsia="pl-PL"/>
              </w:rPr>
              <w:t>Zasada oceny punktowej:</w:t>
            </w:r>
          </w:p>
          <w:p w:rsidR="00DD1113" w:rsidRDefault="00E12B6F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Tak 5 pkt</w:t>
            </w:r>
          </w:p>
          <w:p w:rsidR="00DD1113" w:rsidRDefault="00E12B6F">
            <w:pPr>
              <w:pStyle w:val="Nagwek3"/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  <w:t>Nie 0 pkt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Instrukcja obsługi w języku polskim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D1113" w:rsidRDefault="00E12B6F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D1113">
        <w:trPr>
          <w:jc w:val="center"/>
        </w:trPr>
        <w:tc>
          <w:tcPr>
            <w:tcW w:w="18" w:type="dxa"/>
          </w:tcPr>
          <w:p w:rsidR="00DD1113" w:rsidRDefault="00DD111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</w:pPr>
            <w:r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41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1113" w:rsidRDefault="00E12B6F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Zamawiający wymaga podłączenia analizatora/urządzenia do użytkowanego przez Zamawiającego 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Ewentualne koszty związane z zakupem odpowiednich licencji oprogramowania, sterowników i prac integracyjnych pokrywa Dostawca analizatora/urządzenia.</w:t>
            </w:r>
          </w:p>
          <w:p w:rsidR="00DD1113" w:rsidRDefault="00E12B6F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Zamawiający wymaga zastosowania zasilacza awaryjnego UPS dla analizatora i jego komponentów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o skuteczności gwarantującej podtrzymanie zasilania na czas niezbędny do bezpiecznego wyłączenia analizatora wraz z komponentami.</w:t>
            </w:r>
          </w:p>
          <w:p w:rsidR="00DD1113" w:rsidRDefault="00E12B6F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Zamawiający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wymaga aby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komputer z oprogramowaniem do obsługi analizatora, wyposażony był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w system operacyjny w wersji minimum Windows 10 Professional x64. Zamawiający wymaga przekazania dostępu z uprawnieniami administratora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umożliwiającymi instalację stosowanego przez Zamawiającego pakietu bezpieczeństwa lub umożliwienia podłączenia komputera do środowiska Active Directory Zamawiającego, przy czym praca na komputerze odbywać się będzie z wykorzystaniem użytkownika o ograniczonych uprawnieniach.</w:t>
            </w:r>
          </w:p>
          <w:p w:rsidR="00E12B6F" w:rsidRDefault="00E12B6F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E12B6F" w:rsidRDefault="00E12B6F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Wykonawca na czas trwania umowy udostępni drukujące urządzenie sieciowe, pozwalające uzyskać wydruki wyników i raportów z analizatora.    </w:t>
            </w:r>
          </w:p>
          <w:p w:rsidR="00DD1113" w:rsidRDefault="00E12B6F">
            <w:pPr>
              <w:widowControl w:val="0"/>
              <w:spacing w:beforeAutospacing="1" w:after="119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  <w:lang w:eastAsia="pl-PL"/>
              </w:rPr>
              <w:t>Wykonawca wraz z analizatorem dostarcza wszelkie komponenty peryferyjne niezbędne do w pełni funkcjonalnej pracy.</w:t>
            </w:r>
          </w:p>
        </w:tc>
        <w:tc>
          <w:tcPr>
            <w:tcW w:w="14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D1113" w:rsidRDefault="00E12B6F">
            <w:pPr>
              <w:widowControl w:val="0"/>
              <w:jc w:val="center"/>
              <w:rPr>
                <w:u w:val="double"/>
              </w:rPr>
            </w:pPr>
            <w:r>
              <w:rPr>
                <w:rFonts w:ascii="Arial" w:hAnsi="Arial" w:cs="Arial"/>
                <w:sz w:val="20"/>
                <w:szCs w:val="20"/>
                <w:u w:val="double"/>
              </w:rPr>
              <w:lastRenderedPageBreak/>
              <w:t>Tak</w:t>
            </w:r>
          </w:p>
        </w:tc>
        <w:tc>
          <w:tcPr>
            <w:tcW w:w="32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1113" w:rsidRDefault="00DD1113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u w:val="double"/>
                <w:lang w:eastAsia="pl-PL"/>
              </w:rPr>
            </w:pPr>
          </w:p>
        </w:tc>
      </w:tr>
    </w:tbl>
    <w:p w:rsidR="00DD1113" w:rsidRDefault="00DD111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DD1113" w:rsidRDefault="00DD111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Layout w:type="fixed"/>
        <w:tblCellMar>
          <w:left w:w="15" w:type="dxa"/>
          <w:right w:w="15" w:type="dxa"/>
        </w:tblCellMar>
        <w:tblLook w:val="00A0" w:firstRow="1" w:lastRow="0" w:firstColumn="1" w:lastColumn="0" w:noHBand="0" w:noVBand="0"/>
      </w:tblPr>
      <w:tblGrid>
        <w:gridCol w:w="9445"/>
        <w:gridCol w:w="50"/>
      </w:tblGrid>
      <w:tr w:rsidR="00DD1113">
        <w:trPr>
          <w:trHeight w:val="284"/>
          <w:jc w:val="center"/>
        </w:trPr>
        <w:tc>
          <w:tcPr>
            <w:tcW w:w="947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DD1113" w:rsidRDefault="00E12B6F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WARUNKI GWARANCJI I SERWISU ORAZ SZKOLENIE</w:t>
            </w:r>
          </w:p>
        </w:tc>
        <w:tc>
          <w:tcPr>
            <w:tcW w:w="18" w:type="dxa"/>
            <w:tcBorders>
              <w:top w:val="single" w:sz="2" w:space="0" w:color="000000"/>
            </w:tcBorders>
          </w:tcPr>
          <w:p w:rsidR="00DD1113" w:rsidRDefault="00DD1113">
            <w:pPr>
              <w:widowControl w:val="0"/>
            </w:pPr>
          </w:p>
        </w:tc>
      </w:tr>
    </w:tbl>
    <w:p w:rsidR="00DD1113" w:rsidRDefault="00DD111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tblpX="21" w:tblpY="188"/>
        <w:tblW w:w="926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40"/>
        <w:gridCol w:w="4506"/>
        <w:gridCol w:w="795"/>
        <w:gridCol w:w="3421"/>
      </w:tblGrid>
      <w:tr w:rsidR="00DD1113">
        <w:trPr>
          <w:trHeight w:val="22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Czas reakcji serwisu na zgłoszenie - nie dłużej niż 48 godz.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D1113" w:rsidRDefault="00E12B6F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D1113">
        <w:trPr>
          <w:trHeight w:val="22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DD1113" w:rsidRDefault="00E12B6F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D1113" w:rsidRDefault="00E12B6F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D1113">
        <w:trPr>
          <w:trHeight w:val="11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D1113">
        <w:trPr>
          <w:trHeight w:val="22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przypadku stwierdzenia awarii analizatora niemożliwej do usunięcia w ciągu 24 godzin i niedostarczenia aparatu zastępczego, Wykonawca pokrywa różnicę kosztów związanych z wykonaniem badań zleconych w innym laboratorium.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D1113">
        <w:trPr>
          <w:trHeight w:val="22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Wykonawca zobowiązany jest do wykonania be</w:t>
            </w:r>
            <w:r w:rsidR="001379B4">
              <w:rPr>
                <w:rFonts w:ascii="Arial" w:hAnsi="Arial" w:cs="Arial"/>
                <w:sz w:val="20"/>
                <w:szCs w:val="20"/>
              </w:rPr>
              <w:t>zpłatnych przeglądów okresowych</w:t>
            </w:r>
            <w:r>
              <w:rPr>
                <w:rFonts w:ascii="Arial" w:hAnsi="Arial" w:cs="Arial"/>
                <w:sz w:val="20"/>
                <w:szCs w:val="20"/>
              </w:rPr>
              <w:t xml:space="preserve">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sz w:val="20"/>
              </w:rPr>
              <w:t>, fax, e-mail)</w:t>
            </w:r>
            <w:r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D1113">
        <w:trPr>
          <w:trHeight w:val="22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umowy.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D1113">
        <w:trPr>
          <w:trHeight w:val="22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D1113">
        <w:trPr>
          <w:trHeight w:val="22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Przeprowadzenie bez</w:t>
            </w:r>
            <w:r w:rsidR="001379B4">
              <w:rPr>
                <w:rFonts w:ascii="Arial" w:hAnsi="Arial" w:cs="Arial"/>
                <w:sz w:val="20"/>
                <w:szCs w:val="20"/>
              </w:rPr>
              <w:t>płatnego szkolenia użytkowników</w:t>
            </w:r>
            <w:r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E12B6F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113" w:rsidRDefault="00DD1113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DD1113" w:rsidRDefault="00DD111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DD1113" w:rsidRDefault="00DD1113">
      <w:pPr>
        <w:pStyle w:val="Listapunktowana3"/>
        <w:tabs>
          <w:tab w:val="left" w:pos="708"/>
          <w:tab w:val="center" w:pos="4536"/>
          <w:tab w:val="right" w:pos="9072"/>
        </w:tabs>
        <w:ind w:left="0" w:firstLine="0"/>
        <w:rPr>
          <w:rFonts w:ascii="Arial" w:hAnsi="Arial" w:cs="Arial"/>
          <w:sz w:val="20"/>
          <w:szCs w:val="20"/>
        </w:rPr>
      </w:pPr>
    </w:p>
    <w:p w:rsidR="00DD1113" w:rsidRDefault="00DD111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  <w:szCs w:val="20"/>
        </w:rPr>
      </w:pPr>
    </w:p>
    <w:p w:rsidR="00DD1113" w:rsidRDefault="00DD111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  <w:szCs w:val="20"/>
        </w:rPr>
      </w:pPr>
    </w:p>
    <w:p w:rsidR="00DD1113" w:rsidRDefault="00DD111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  <w:szCs w:val="20"/>
        </w:rPr>
      </w:pPr>
    </w:p>
    <w:p w:rsidR="00DD1113" w:rsidRDefault="00DD111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</w:p>
    <w:p w:rsidR="00DD1113" w:rsidRDefault="00E12B6F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DD1113" w:rsidRDefault="00E12B6F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Niespełnienie któregoś z podanych warunków granicznych (wymaganych) skutkować </w:t>
      </w:r>
      <w:proofErr w:type="gramStart"/>
      <w:r>
        <w:rPr>
          <w:rFonts w:ascii="Arial" w:hAnsi="Arial" w:cs="Arial"/>
          <w:sz w:val="20"/>
          <w:szCs w:val="20"/>
        </w:rPr>
        <w:t>będzie   odrzuceniem</w:t>
      </w:r>
      <w:proofErr w:type="gramEnd"/>
      <w:r>
        <w:rPr>
          <w:rFonts w:ascii="Arial" w:hAnsi="Arial" w:cs="Arial"/>
          <w:sz w:val="20"/>
          <w:szCs w:val="20"/>
        </w:rPr>
        <w:t xml:space="preserve"> oferty.</w:t>
      </w:r>
    </w:p>
    <w:p w:rsidR="00DD1113" w:rsidRDefault="00E12B6F">
      <w:pPr>
        <w:pStyle w:val="Nagwek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2  Oferta</w:t>
      </w:r>
      <w:proofErr w:type="gramEnd"/>
      <w:r>
        <w:rPr>
          <w:rFonts w:ascii="Arial" w:hAnsi="Arial" w:cs="Arial"/>
          <w:sz w:val="20"/>
          <w:szCs w:val="20"/>
        </w:rPr>
        <w:t xml:space="preserve"> nie spełniająca wymogów granicznych podlega odrzuceniu bez dalszego rozpatrywania.</w:t>
      </w:r>
    </w:p>
    <w:p w:rsidR="00DD1113" w:rsidRDefault="00E12B6F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>
        <w:rPr>
          <w:rFonts w:ascii="Arial" w:hAnsi="Arial" w:cs="Arial"/>
          <w:sz w:val="20"/>
          <w:szCs w:val="20"/>
        </w:rPr>
        <w:t>wątpliwości co</w:t>
      </w:r>
      <w:proofErr w:type="gramEnd"/>
      <w:r>
        <w:rPr>
          <w:rFonts w:ascii="Arial" w:hAnsi="Arial" w:cs="Arial"/>
          <w:sz w:val="20"/>
          <w:szCs w:val="20"/>
        </w:rPr>
        <w:t xml:space="preserve"> do ich prawdziwości.</w:t>
      </w:r>
    </w:p>
    <w:p w:rsidR="00DD1113" w:rsidRDefault="00DD1113">
      <w:pPr>
        <w:ind w:firstLine="708"/>
        <w:rPr>
          <w:rFonts w:ascii="Arial" w:hAnsi="Arial" w:cs="Arial"/>
          <w:sz w:val="20"/>
          <w:szCs w:val="20"/>
        </w:rPr>
      </w:pPr>
    </w:p>
    <w:p w:rsidR="00DD1113" w:rsidRDefault="00DD1113">
      <w:pPr>
        <w:ind w:firstLine="708"/>
        <w:rPr>
          <w:rFonts w:ascii="Arial" w:hAnsi="Arial" w:cs="Arial"/>
          <w:sz w:val="20"/>
          <w:szCs w:val="20"/>
        </w:rPr>
      </w:pPr>
    </w:p>
    <w:p w:rsidR="00DD1113" w:rsidRDefault="00E12B6F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……………….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………………….   </w:t>
      </w:r>
    </w:p>
    <w:p w:rsidR="00DD1113" w:rsidRDefault="00E12B6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DD1113" w:rsidRDefault="00E12B6F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</w:t>
      </w:r>
      <w:proofErr w:type="gramStart"/>
      <w:r>
        <w:rPr>
          <w:rFonts w:ascii="Arial" w:hAnsi="Arial" w:cs="Arial"/>
          <w:sz w:val="20"/>
          <w:szCs w:val="20"/>
        </w:rPr>
        <w:t xml:space="preserve">upoważnionej                                                  </w:t>
      </w:r>
      <w:proofErr w:type="gramEnd"/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DD1113" w:rsidRDefault="00E12B6F">
      <w:pPr>
        <w:pStyle w:val="Tekstpodstawowy"/>
        <w:rPr>
          <w:rFonts w:ascii="Arial" w:hAnsi="Arial" w:cs="Arial"/>
          <w:sz w:val="20"/>
          <w:szCs w:val="20"/>
        </w:rPr>
      </w:pPr>
      <w:r>
        <w:t xml:space="preserve">                                                                                                       </w:t>
      </w:r>
    </w:p>
    <w:p w:rsidR="00DD1113" w:rsidRDefault="00DD1113"/>
    <w:p w:rsidR="00DD1113" w:rsidRDefault="00DD1113"/>
    <w:sectPr w:rsidR="00DD1113">
      <w:pgSz w:w="11906" w:h="16838"/>
      <w:pgMar w:top="899" w:right="1440" w:bottom="539" w:left="144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113"/>
    <w:rsid w:val="001379B4"/>
    <w:rsid w:val="00786959"/>
    <w:rsid w:val="00B80FBB"/>
    <w:rsid w:val="00DD1113"/>
    <w:rsid w:val="00E1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3EE0FD-2BC1-4EDC-B18C-6F582869F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rsid w:val="00213206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DA53BB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1133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7921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Marta MZ. Zapłotna</cp:lastModifiedBy>
  <cp:revision>4</cp:revision>
  <dcterms:created xsi:type="dcterms:W3CDTF">2024-03-06T13:09:00Z</dcterms:created>
  <dcterms:modified xsi:type="dcterms:W3CDTF">2024-03-06T13:16:00Z</dcterms:modified>
  <dc:language>pl-PL</dc:language>
</cp:coreProperties>
</file>