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19" w:rsidRDefault="00FD6457">
      <w:pPr>
        <w:pStyle w:val="Nagwek2"/>
        <w:jc w:val="both"/>
        <w:rPr>
          <w:rFonts w:cs="Arial"/>
          <w:b/>
        </w:rPr>
      </w:pPr>
      <w:r>
        <w:rPr>
          <w:rFonts w:cs="Arial"/>
        </w:rPr>
        <w:t xml:space="preserve">Załącznik nr 2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ZOZ/DZP/PN/18/24</w:t>
      </w:r>
    </w:p>
    <w:p w:rsidR="007F7819" w:rsidRDefault="007F781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7F7819" w:rsidRDefault="00FD6457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7F7819" w:rsidRDefault="00FD645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7F7819" w:rsidRDefault="007F7819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58"/>
      </w:tblGrid>
      <w:tr w:rsidR="007F7819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:rsidR="007F7819" w:rsidRDefault="007F7819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7F7819" w:rsidRDefault="007F7819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</w:p>
          <w:p w:rsidR="007F7819" w:rsidRDefault="00FD6457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I. Dostawa Tomografu Komputerowego wraz z oprogramowaniem</w:t>
            </w:r>
          </w:p>
          <w:p w:rsidR="007F7819" w:rsidRDefault="007F7819">
            <w:pPr>
              <w:widowControl w:val="0"/>
              <w:ind w:left="712"/>
              <w:rPr>
                <w:rStyle w:val="Domylnaczcionkaakapitu1"/>
                <w:b/>
              </w:rPr>
            </w:pPr>
          </w:p>
        </w:tc>
      </w:tr>
    </w:tbl>
    <w:p w:rsidR="007F7819" w:rsidRDefault="007F7819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29"/>
        <w:gridCol w:w="5371"/>
        <w:gridCol w:w="14"/>
        <w:gridCol w:w="1561"/>
        <w:gridCol w:w="13"/>
        <w:gridCol w:w="3387"/>
      </w:tblGrid>
      <w:tr w:rsidR="007F7819">
        <w:trPr>
          <w:trHeight w:val="44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F7819">
        <w:trPr>
          <w:trHeight w:val="421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7F7819">
        <w:trPr>
          <w:trHeight w:val="9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7F7819" w:rsidRDefault="007F7819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7F7819">
        <w:trPr>
          <w:trHeight w:val="35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</w:rPr>
              <w:t>1</w:t>
            </w: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b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b/>
              </w:rPr>
              <w:t>3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b/>
              </w:rPr>
              <w:t>4</w:t>
            </w:r>
          </w:p>
        </w:tc>
      </w:tr>
      <w:tr w:rsidR="007F7819">
        <w:trPr>
          <w:trHeight w:val="53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Tomograf nowy wyprodukowany w 2024 roku, nieużywany, 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najnowszej wersji sprzętowej i oprogramowania na dzień składania oferty.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Tomograf komputerowy całego ciała, umożliwiający uzyskanie min. 128 warstw badanego obszaru w czasie jednego pełnego obrotu układu lampa-detektor, posiadający detektor minimum 64 rzędowy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potwierdzające, że tomograf komputerowy,  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konsola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lekarska,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kontrastu spełniają wymagania zgodnie z Ustawą o wyrobach medycznych.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dnia 20.05.2010 (Dz.U Nr 107, poz. 679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późn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Pokrycie anatomiczne detektora min. 38 mm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Pochylanie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fizyczne w zakresie min</w:t>
            </w:r>
            <w:r w:rsidRPr="00F43491">
              <w:rPr>
                <w:rFonts w:ascii="Calibri" w:hAnsi="Calibri" w:cs="Calibri"/>
                <w:sz w:val="22"/>
                <w:szCs w:val="22"/>
              </w:rPr>
              <w:t>.</w:t>
            </w:r>
            <w:r w:rsidR="00B40F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40FB2"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±28</w:t>
            </w:r>
            <w:r w:rsidRPr="00F43491"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°</w:t>
            </w:r>
            <w:r w:rsidRPr="00F43491"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87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Średnica otworu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≥ 70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1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Udźwig stołu pacjenta min. 300 kg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Powyżej 300kg – 1 pkt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 kg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7F7819">
        <w:trPr>
          <w:trHeight w:val="121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rozpoczęcia skanowania bezpośrednio z panelu dotykowego lub tabletu/pilota montowanego 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tomografu, za pomocą jednego kliknięcia.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Wskaźnik informujące pacjenta o konieczności wstrzymania oddechu i możliwości wypuszczenia powietrza.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Kamera zintegrowana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obserwacji zachować pacjenta, z funkcją zbliżenia widoku.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Wyposażenie stołu: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materac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osłoną chroniącą stół przed zalaniem płynami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podgłówki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badania głowy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podgłówek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pozycji na wznak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pasy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stabilizujące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podpórka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 ramię, kolana i nogi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uchwyt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 rolkę na jednorazowe prześcieradło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pozycjoner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pediatryczny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48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snapToGrid w:val="0"/>
              <w:spacing w:before="96" w:after="96"/>
              <w:ind w:left="72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GENERATOR I LAMPA</w:t>
            </w:r>
          </w:p>
        </w:tc>
      </w:tr>
      <w:tr w:rsidR="007F7819">
        <w:trPr>
          <w:trHeight w:val="31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Rzeczywista moc generatora przy skanie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jednoenergetycznym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≥ 72 kW</w:t>
            </w:r>
            <w:proofErr w:type="gram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≥75 kW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72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kW -  &lt;75 kW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52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Minimalne napięcie anody, możliwe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zastosowania                    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protokołach badań ≤ 80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≤ 70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2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≤ 80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- &gt; 70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Maksymalne napięcie anody, możliwe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zastosowania               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protokołach badań ≥ 135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140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139 - 135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3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Prąd lampy przy skanie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jednoenergetycznym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≥ 600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625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min. 600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624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– 0 pkt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Rzeczywista pojemność cieplna anody lampy ≥ 7 MHU lub jej ekwiwalent w przypadku technologii chłodzenia innej niż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klasyczna jeśli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szybkość chłodzenia anody takiej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kontrukcji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jest większa niż 2500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kHU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/min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Szybkość chłodzenia lampy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1,0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≥ 1,7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 – 1 pkt</w:t>
            </w:r>
          </w:p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1,0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  - &lt; 1,7 MHU/min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snapToGrid w:val="0"/>
              <w:spacing w:before="96" w:after="96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DETEKTOR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Grubość najcieńszej dostępnej warstwy w akwizycji wielowarstwowej ≤ 0,65 mm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≤ 0,60 mm – 1 pkt</w:t>
            </w:r>
          </w:p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  <w:highlight w:val="magent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≤ 0,65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mm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2"/>
              </w:rPr>
              <w:t>- &gt; 0,60 mm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Rozdzielczość wysokokontrastowa w akwizycji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submilimetrowej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czasie pełnego skanu w trybie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helikalnym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matrycy 512 x 512 w płaszczyźnie XY w polu akwizycyjnym 50 cm mierzona w punkcie 50% charakterystyki MTF ≥ 11,5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Dodatkowy filtr cynowy dedykowany do eliminacji promieniowania o niższych od wykorzystywanych energiach do ograniczenia dawki promieniowania i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optymalnej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obrazów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Odległość ognisko lampy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detektor mniejsza od 100 cm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426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SYSTEM SKANOWANIA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Najkrótszy czas pełnego obrotu (360º ) układu lampa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detektor  ≤ 0,35 s</w:t>
            </w:r>
            <w:proofErr w:type="gram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0,35 – 0,34 s – 0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≤ 0,33 s – 1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Zakres przesuwu stołu umożliwiający skanowanie ≥ 160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Zakres badania spiralnego bez konieczności repozycjonowania pacjenta ≥ 160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Maksymalne pole obrazowania FOV min. 50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rekonstrukcji pola obrazowania równego średnicy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Tak/Nie 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wykonywania skanu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aksjalnego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gentry pochylanym w zakresie min.</w:t>
            </w:r>
            <w:r w:rsidR="00B40F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40FB2" w:rsidRPr="00B40FB2">
              <w:rPr>
                <w:rStyle w:val="abcZnakZnak"/>
                <w:rFonts w:ascii="Calibri" w:hAnsi="Calibri" w:cs="Calibri"/>
                <w:b w:val="0"/>
                <w:sz w:val="22"/>
                <w:szCs w:val="22"/>
                <w:highlight w:val="yellow"/>
              </w:rPr>
              <w:t>±28</w:t>
            </w:r>
            <w:r w:rsidRPr="00B40FB2">
              <w:rPr>
                <w:rStyle w:val="abcZnakZnak"/>
                <w:rFonts w:ascii="Calibri" w:hAnsi="Calibri" w:cs="Calibri"/>
                <w:b w:val="0"/>
                <w:sz w:val="22"/>
                <w:szCs w:val="22"/>
                <w:highlight w:val="yellow"/>
              </w:rPr>
              <w:t>°</w:t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wykonywania skanu spiralnego z gentry pochylanym w zakresie min. </w:t>
            </w:r>
            <w:r w:rsidR="00B40FB2" w:rsidRPr="00B40FB2">
              <w:rPr>
                <w:rStyle w:val="abcZnakZnak"/>
                <w:rFonts w:ascii="Calibri" w:hAnsi="Calibri" w:cs="Calibri"/>
                <w:b w:val="0"/>
                <w:sz w:val="22"/>
                <w:szCs w:val="22"/>
                <w:highlight w:val="yellow"/>
              </w:rPr>
              <w:t>±28</w:t>
            </w:r>
            <w:r w:rsidRPr="00B40FB2">
              <w:rPr>
                <w:rStyle w:val="abcZnakZnak"/>
                <w:rFonts w:ascii="Calibri" w:hAnsi="Calibri" w:cs="Calibri"/>
                <w:b w:val="0"/>
                <w:sz w:val="22"/>
                <w:szCs w:val="22"/>
                <w:highlight w:val="yellow"/>
              </w:rPr>
              <w:t>°</w:t>
            </w:r>
            <w:r w:rsidRPr="00F43491">
              <w:rPr>
                <w:rStyle w:val="abcZnakZnak"/>
                <w:rFonts w:asciiTheme="minorHAnsi" w:hAnsiTheme="minorHAnsi" w:cstheme="minorHAnsi"/>
                <w:b w:val="0"/>
                <w:sz w:val="22"/>
                <w:szCs w:val="22"/>
                <w:vertAlign w:val="superscript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Akwizycja dwu energetyczna umożliwiająca uzyskanie dwóch zestawów danych badanej objętości dla minimum dwóch różnych energii promieniowania - różnych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każdej z energii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Algorytmy sztucznej inteligencji umożliwiający automatyczny dobór protokołów badania w oparciu o komunikacje z obsługą tomografu w postaci indywidualnej charakterystyki pacjenta, dobierając optymalną kombinację parametrów akwizycji, rekonstrukcji i czasu badania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- 2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5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Specjalny tryb akwizycji zmniejszający promieniowanie nad szczególnie wrażliwymi organami (oczodoły, tarczyca, piersi) poprzez modulację prądu w zależności od kąta położenia lampy podczas obrotu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5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Dynamiczny kolimator i system selektywnej redukcji dawki na wybrane organy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iteracyjny algorytm rekonstrukcji z wielokrotnym przetwarzaniem w obszarze danych surowych (RAW) i w obszarze obrazu, umożliwiający redukcję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dawki o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60% w relacji do standardowej metody FBP, potwierdzona klinicznie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Matryca rekonstrukcyjna min. 512x512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Szybkość rekonstrukcji obrazów w czasie rzeczywistym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wykorzystaniem algorytmu iteracyjnego min. 20 obrazów/s, w rozdzielczości 512 x 512 pikseli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 55 obrazów/s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20-54 obrazów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Iteracyjny algorytm do redukcji zniekształceń od elementów metalowych we wszystkich obszarach ciała działający selektywnie w zależności o wyboru dokonanego przez obsługę.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0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protokołów do badania wszystkich obszarów anatomicznych, z możliwością ich modyfikacji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Moduł  synchronizacji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akwizycji z przebiegiem  EKG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retrospektywnego skanowania wyzwalanego zapisem EKG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Akwizycja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Triple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Rule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-Out u pacjentów z bólem w klatce piersiowej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KONSOLA TECHNIKA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Konsola operatorska z min. dwoma kolorowymi monitorami z aktywną matrycą ciekłokrystaliczną typu Flat, spełniające wymogi aktualnego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Ministra Zdrowia dotyczące monitorów przeglądowych m.in.: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przekątna min. 23”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rozdzielczość min. 1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Mpx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wykorzystania np. tabletu do podglądu akwizycji i rekonstrukcji badań.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uruchomienia, w specyficznych przypadkach, badania z dowolnego miejsca spoza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tomografu i konsoli operatora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Pojemność dostępnej bazy danych dla obrazów 512 x 512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pikseli  bez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kompresji wyrażona ilością obrazów  niezależnie od przestrzeni dyskowej dla danych surowych [obrazów] min. 600 000 obrazów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≥800 000 obrazów –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600 000 – 799 999 obrazów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sieciowy zgodnie z DICOM 3.0 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następującymi klasami serwisowymi: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 Send / Receive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 Basic Print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 xml:space="preserve">-  Query Retrieve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Storage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Commitment</w:t>
            </w:r>
            <w:proofErr w:type="spellEnd"/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MPPS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Identyczny wygląd interfejsu konsoli operatorskiej oraz stacji lekarskich, oprogramowanie od jednego producenta.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Sterowanie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kontrastu bezpośrednio z konsoli tomografu komputerowego. Możliwość programowania i zapamiętywania parametrów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bezpośrednio w protokole badania na konsoli operatorskiej – dostawa sprzężenia niezwłocznie jak będzie to możliwe.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UPS umożliwiający podtrzymanie pracy konsoli operatorskiej na czas prawidłowego jej zamknięcia w przypadku utraty zasilania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green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nagrania wykonanego badania na nośniku CD/DVD w formacie DICOM łącznie z przeglądarką DICOM umożliwiającą przegląd nagranych badań. Przeglądarka musi mieć możliwość auto uruchomienia po umieszczeniu nośnika w czytniku oraz udostępniana na licencji darmowej zarówno do użytku prywatnego jak i komercyjnego. Możliwość odtworzenia na dowolnym komputerze klasy PC bez konieczności instalacji dodatkowego oprogramowania.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48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OPROGRAMOWANIE KONSOLI OPERATORSKIEJ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MIP (Maximum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IntensityProjection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Fonts w:ascii="Calibri" w:hAnsi="Calibri" w:cs="Calibri"/>
                <w:sz w:val="22"/>
                <w:szCs w:val="22"/>
                <w:lang w:val="nl-NL"/>
              </w:rPr>
              <w:t>VR (VRT ) (Volume Rendering Technique)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Reformatowanie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wielopłaszczyznowe (MPR), rekonstrukcje wzdłuż dowolnej prostej lub krzywej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Bezpośrednie rekonstrukcje objętościowe z uzyskanych danych surowych bez konieczności wstępnego wykonywania rekonstrukcji cienkowarstwowych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aksjalnych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powiadamiane obsługi tomografu, przez wyświetlenie odpowiedniego komunikatu, o możliwości przekroczenia referencyjnej dawki promieniowania w danym badaniu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synchronizacji startu badania spiralnego na podstawie automatycznej analizy napływu środka kontrastującego w zadanej warstwie bez wykonywania wstrzyknięć testowych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dobór współczynnika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pitch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celu osiągnięcia wybranego przez użytkownika pokrycia i czasu skanowania, utrzymując wybraną grubość warstwy oraz jakość obrazu.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Automatyczne, bez udziału operatora, ustawianie zakresu badania, dla danego pacjenta, na podstawie znaczników anatomicznych i wybranego protokołu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Automatyczny, na bieżąco dobór napięcia anodowego w protokołach badań w zależności od rodzaju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 w:rsidP="00F43491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Sprzężenie tomografu komputerowego ze strzykawką automatyczną kablem komunikacyjnym lub bezprzewodowo umożliwiającym wymianę danych pomiędzy urządzeniami – </w:t>
            </w:r>
            <w:r w:rsidR="00F43491" w:rsidRPr="00F43491">
              <w:rPr>
                <w:rFonts w:ascii="Calibri" w:hAnsi="Calibri" w:cs="Calibri"/>
                <w:sz w:val="22"/>
                <w:szCs w:val="22"/>
              </w:rPr>
              <w:t>wykonawca</w:t>
            </w:r>
            <w:r w:rsidRPr="00F43491">
              <w:rPr>
                <w:rFonts w:ascii="Calibri" w:hAnsi="Calibri" w:cs="Calibri"/>
                <w:sz w:val="22"/>
                <w:szCs w:val="22"/>
              </w:rPr>
              <w:t xml:space="preserve"> zobowiązuje się do dostarczenia sprzężenia min. klasy IV wg standardu CIA 425 niezwłocznie po wprowadzeniu produktu na rynek jednak, nie później niż przed upływem gwarancji</w:t>
            </w:r>
            <w:r w:rsidR="00F43491" w:rsidRPr="00F43491">
              <w:rPr>
                <w:rFonts w:ascii="Calibri" w:hAnsi="Calibri" w:cs="Calibri"/>
                <w:sz w:val="22"/>
                <w:szCs w:val="22"/>
              </w:rPr>
              <w:t>.</w:t>
            </w:r>
            <w:r w:rsidRPr="00F4349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79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SERWER APLIKACYJNY</w:t>
            </w:r>
          </w:p>
        </w:tc>
      </w:tr>
      <w:tr w:rsidR="007F7819">
        <w:trPr>
          <w:trHeight w:val="57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Pr="00F43491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43491">
              <w:rPr>
                <w:rFonts w:ascii="Calibri" w:hAnsi="Calibri" w:cs="Calibri"/>
                <w:sz w:val="22"/>
                <w:szCs w:val="22"/>
              </w:rPr>
              <w:t xml:space="preserve">Dostawa nowych stacji lekarskich o parametrach jak poniżej, pracujących w architekturze klient - serwer. </w:t>
            </w:r>
          </w:p>
          <w:p w:rsidR="007F7819" w:rsidRPr="00F43491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43491">
              <w:rPr>
                <w:rFonts w:ascii="Calibri" w:hAnsi="Calibri" w:cs="Calibri"/>
                <w:sz w:val="22"/>
                <w:szCs w:val="22"/>
              </w:rPr>
              <w:t xml:space="preserve">Możliwość zdalnej pracy stacji klienckich diagnostycznych na serwerze, bez konieczności ściągania badania na stacje klienckie. </w:t>
            </w:r>
          </w:p>
          <w:p w:rsidR="007F7819" w:rsidRDefault="00FD6457">
            <w:pPr>
              <w:pStyle w:val="AbsatzTableFormat"/>
              <w:widowControl w:val="0"/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</w:pPr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 xml:space="preserve">Dostawa aplikacji, min. w oparciu o model pływających licencji, </w:t>
            </w:r>
            <w:proofErr w:type="gramStart"/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>liczbie co</w:t>
            </w:r>
            <w:proofErr w:type="gramEnd"/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 xml:space="preserve"> najmniej 2 jednoczesnych dostępów w podstawowym wariancie funkcjonalnym, a także licencji specjalistycznych jak poniżej.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ściągnięcia i instalacji klienta na komputer klasy PC mający dostęp do serwera aplikacyjnego.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Dostawa sprzętowego serwera pełniącego rolę serwera aplikacyjnego Minimalne parametry serwera aplikacyjnego nowego: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pamięć RAM: min. </w:t>
            </w:r>
            <w:r>
              <w:rPr>
                <w:rFonts w:ascii="Calibri" w:hAnsi="Calibri" w:cs="Calibri"/>
                <w:sz w:val="22"/>
                <w:szCs w:val="22"/>
                <w:lang w:val="pl-PL"/>
              </w:rPr>
              <w:t>192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GB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wbudowana macierz  w konfiguracji RAID Level 5 lub równoważnej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pojemność macierzy: min. </w:t>
            </w:r>
            <w:r>
              <w:rPr>
                <w:rFonts w:ascii="Calibri" w:hAnsi="Calibri" w:cs="Calibri"/>
                <w:sz w:val="22"/>
                <w:szCs w:val="22"/>
                <w:lang w:val="pl-PL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TB netto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Zamawiający wymaga umożliwienia instalacji użytkowanego systemu bezpieczeństwa klasy XDR, celem wykrywania i reagowania na zagrożenia bezpieczeństwa.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 parametry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 stanowiska lekarskie, każde wyposażone w: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1 kolorowy monitor diagnostyczny, o min. przekątnej 30” i rozdzielczości nie mniejszej niż 4 MP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1 monitor opisowy o min. przekątnej min. 23” i rozdzielczości nie mniejszej niż 2MP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komputer</w:t>
            </w:r>
            <w:proofErr w:type="gram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PC, wyposażony w: min. 32 GB RAM, dysk SSD 1TB, napęd optyczny obsługujący nośniki CD i DVD, interfejs LAN 1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Gb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, system Windows 11 Pro </w:t>
            </w:r>
            <w:r>
              <w:rPr>
                <w:rFonts w:ascii="Calibri" w:hAnsi="Calibri" w:cs="Calibri"/>
                <w:sz w:val="22"/>
                <w:szCs w:val="22"/>
              </w:rPr>
              <w:t>Wykonawca gwarantuje możliwość użytkowania na stacji oprogramowania RIS/PACS/VNA stosowanego przez Zamawiającego.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Zamawiający wymaga umożliwienia instalacji użytkowanego systemu bezpieczeństwa klasy XDR, celem wykrywania i reagowania na zagrożenia bezpieczeństwa.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 parametry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przetwarzanie otrzymanych danych w oparciu o kontekst kliniczny badania z możliwością automatycznego przypisywania procedur obrazowych do obrazów na podstawie informacji zawartych w nagłówkach DICOM.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Wsparcie techniczne w zakresie serwera aplikacyjnego obejmujące aktualizacje oprogramowania diagnostycznego (update/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hotfix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modernizacje oprogramowania diagnostycznego ( dostępne coroczne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upgrady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najnowszej i aktualnej wersji oprogramowania).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import badań poprzednich z archiwum PACS, dostępny dla dowolnego użytkownika, dla dowolnego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badania jakie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zostanie odebrane przez serwer aplikacyjny, bez ograniczenia z jaką aplikacją to badanie zostanie uruchomione.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Automatyczny algorytm powinien pobierać poprzednie badania z możliwością definiowania min:</w:t>
            </w:r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typ/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modalność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zakres daty poprzednich badań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Interfejs sieciowy zgodnie z DICOM 3,0 z następującymi klasami serwisowymi:</w:t>
            </w:r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Query/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Receive</w:t>
            </w:r>
            <w:proofErr w:type="spellEnd"/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Print</w:t>
            </w:r>
            <w:proofErr w:type="spellEnd"/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Storage</w:t>
            </w:r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 xml:space="preserve">Storage –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x-none"/>
              </w:rPr>
              <w:t>commitment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Jednoczesna prezentacja i odczyt, danych obrazowych CT, RTG, MR, PET-CT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jednoczesnej edycji badań min. 4 różnych pacjentów. Przełączanie pomiędzy badaniami różnych pacjentów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nie wymagające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zamykania załadowanych badań.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Funkcjonalności do oceny badań: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geometryczne (długości, kątów, powierzchni),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analityczne (pomiar poziomu gęstości, histogramy, inne),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elementy manipulacji obrazem (m. in. przedstawienie w negatywie, obrót obrazu i odbicia lustrzane, powiększenie obrazu, dodawanie obrazów).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umożliwiające obliczanie i wizualizację rozkładów intensywności zależnych od czasu/fazy, technologia Time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Curve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Tool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równoważna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Prezentacje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Automatyczna synchronizacja wyświetlanych serii badania, niezależna od grubości warstw.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synchronicznego wyświetlania min. 4 serii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Rekonstrukcje MIP, VRT.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Predefiniowana paleta ustawień dla rekonstrukcji VRT uwzględniająca typy badań, obszary anatomiczne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Rekonstrukcje 3D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Cinematic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Rendering, bazujące na dokładnej fizycznej symulacji oddziaływania światła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materią, realizujące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fotorealistyczny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rendering kształtów z uwzględnieniem rozpraszania fotonów światła, propagacji światła, interakcji światła z materią, głębokości (cieni), możliwe do otrzymania dla każdego badania CT, MR w formacie DICOM dostępnego na serwerze aplikacyjnym.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Technika stosująca: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oświetlanie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każdego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piksela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bardzo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dużą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ilością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źródeł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światła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dowolnego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kierunku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rozpraszanie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pochłanianie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fotonów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algorytmów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numerycznych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MonteCarlo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Rekonstrukcja inna niż adaptacja parametrów typowej rekonstrukcji VRT.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Reformatowanie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wielopłaszczyznowe (MPR), rekonstrukcje wzdłuż dowolnej prostej (równoległe lub promieniste) lub krzywej.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Zaawansowana rejestracja i rozpoznawanie anatomii w badaniach CT/ MR w oparciu o algorytmy sztucznej inteligencji (AI) pozwalająca na:</w:t>
            </w:r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rejestracja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załadowanych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generowanie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rekonstrukcji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MPR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zorientowanych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anatomicznie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wstępny zakres (rozmiar, ilość warstw) oraz orientacja rekonstrukcji jest ustawiona automatycznie, zależnie od anatomii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Fuzja badań z różnych modalności jak: CT/MR, CT/SPECT, CT/PET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Zestawy predefiniowanych układów wyświetlania (layoutów), skojarzony z zastosowaną aplikacją, np. naczyniowa/onkologiczna.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Szybkie przełączanie pomiędzy predefiniowanymi układami wyświetlania: badanie bieżące (1 punkt czasowy), porównawcze (2,3,4 punkty czasowe), wielofazowe.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indywidualnego dopasowania układów wyświetlania przez każdego użytkownika, z możliwością zapamiętania.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układów wyświetlania do ilości oraz typu dołączonych do stacji lekarskiej monitorów diagnostycznych.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tworzenie listy zaznaczeń i pomiarów (znalezisk) wykonywanych w trakcie analizy, z możliwością automatycznego (bez przewijania obrazów) wywołania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sekwencji obrazów odpowiadającej wybranemu zaznaczeniu lub pomiarowi z utworzonej listy, możliwością archiwizacji w systemie PACS oraz późniejszego wywołania.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usuwanie struktur kostnych z pozostawieniem wyłącznie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zakontrastowanego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drzewa naczyniowego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usuwanie obrazu stołu z obrazów CT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numerowanie kręgów kręgosłupa w badaniach CT, MR odcinkowych jak i całego kręgosłupa. Oprogramowanie bazujące na algorytmach AI.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numerowanie żeber w badaniach CT.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bookmarkStart w:id="0" w:name="_Hlk122085797"/>
            <w:r>
              <w:rPr>
                <w:rFonts w:ascii="Calibri" w:hAnsi="Calibri" w:cs="Calibri"/>
                <w:sz w:val="22"/>
                <w:szCs w:val="22"/>
              </w:rPr>
              <w:t>Oprogramowanie bazujące na algorytmach AI</w:t>
            </w:r>
            <w:bookmarkEnd w:id="0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zawierające zaawansowane funkcje do oceny w 3D, takie jak: 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wyświetlanie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obrazu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zaznaczeniu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określonego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punktu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3D (3D Reference Point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wyznaczanie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objętości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użyciem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interaktywnej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segmentacji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(Region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Growing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wizualizacja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kolorze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wyodrębnionych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obszarów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Anatomy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Visualizer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automatyczna segmentacja płuc, serca, aorty.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dedykowane do zaawansowanej statystyki trzewnej tkanki tłuszczowej.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Wyznaczanie objętości trzewnej tkanki tłuszczowej z użyciem interaktywnej segmentacji ( zgodnie z nazewnictwem Producenta).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umożliwiające wyświetlanie obrazów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monoenergetycznych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 ściśle określonej energii pochodzących z akwizycji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dwuenergetycznej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CT, w tym z wizualizacją obrazu optymalnego kontrastu, z możliwością redukcji artefaktów od metalowych przedmiotów.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Funkcjonalność automatycznego generowania rekonstrukcji z badań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dwuenergetycznych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np. map barwnych, serii o wybranej energii, na potrzeby łatwej oceny badań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dwuenergetycznych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dowolnego stanowiska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(np. przeglądarki PACS),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nie wymagające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uruchamiania dedykowanej aplikacji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dwuenergetycznej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</w:p>
          <w:p w:rsidR="007F7819" w:rsidRDefault="00FD6457">
            <w:pPr>
              <w:widowControl w:val="0"/>
              <w:rPr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perfuzji mózgu umożliwiające ocenę ilościową i jakościową (mapy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barwne)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następujących parametrów: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rBF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(miejscowy przepływ krwi),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rBV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(miejscowa objętość krwi)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TTP (czas do szczytu krzywej wzmocnienia)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MTT (średni czas przejścia)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PS (ocena bariery przepuszczalności błon komórkowych)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szybkiego i powtarzalnego automatycznego generowania map perfuzyjnych bez koniczności ręcznego otwierania badania na stacji lekarskiej oraz ich archiwizowania na potrzeby szybkiej oceny badań SOR (m.in. udarów).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natychmiastowego wysłania wygenerowanych map do aparatu zabiegowego.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tworzenia własnego szablonu opracowywania badań perfuzyjnych (makro).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Aplikacja do oceny udarów niedokrwiennych w badaniach badań CT, realizująca: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x-none"/>
              </w:rPr>
              <w:t>utomatyczna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x-none"/>
              </w:rPr>
              <w:t xml:space="preserve"> ocena badań CT bez kontrastu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natywnych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wraz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określeniem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parametru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ASPECTS - Alberta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Stroke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Program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Early CT Score,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umożliwiającego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oszacowanie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rozległości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zaawansowania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strefy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niedokrwienia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pl-PL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generowanie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pomiarów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konieczności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ręcznego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otwierania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lekarskiej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automatyczne wysyłanie pomiarów/map do systemu PACS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oceny badań onkologicznych CT umożliwiające: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zmian zgodnie z klasyfikacją RECIST/WHO, 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porównywanie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badań z 2 punktów czasowych, 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rejestrację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/fuzję obrazów,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podgląd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3D w widokach MIP i VRT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badań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onkologicznych/pulmonologicznych umożliwiające:</w:t>
            </w:r>
          </w:p>
          <w:p w:rsidR="007F7819" w:rsidRDefault="00FD6457">
            <w:pPr>
              <w:widowControl w:val="0"/>
              <w:numPr>
                <w:ilvl w:val="0"/>
                <w:numId w:val="13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segmentacja zmian ogniskowych w 3D w płucach wraz z możliwością ręcznej korekty,</w:t>
            </w:r>
          </w:p>
          <w:p w:rsidR="007F7819" w:rsidRDefault="00FD6457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lang w:val="x-none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wyznaczanie parametrów: max średnicy, objętości, średniej gęstości wraz z odchyleniem standardowym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porównywanie badań CT w 3D, z kolorowym zaznaczeniem zmian pomiędzy badaniami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Change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nazewnictwem producenta) realizujące:</w:t>
            </w:r>
          </w:p>
          <w:p w:rsidR="007F7819" w:rsidRDefault="00FD6457">
            <w:pPr>
              <w:pStyle w:val="NormalnyWeb"/>
              <w:numPr>
                <w:ilvl w:val="0"/>
                <w:numId w:val="14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zarejestrowanie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załadowanie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wyświetlenie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bieżącego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konieczności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ręcznej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interakcji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przez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użytkownika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4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zaznaczenie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kolorze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pomarańczowy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zwiększenie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gęstości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HU,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niebieski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zmniejszenie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HU)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wszelkich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zmian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budowie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płuc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pomiędzy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dwoma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bazujące na algorytmach AI.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Raportowanie zmian zgodnie z kryteriami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-RADS, TNM, LIRADS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Automatyczna detekcja zmian guzkowych w miąższu płuc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podopłucnowych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typu CAD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przetwarzanie w tle (bez ingerencji użytkownika) przez serwer aplikacyjny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badań CT klatki piersiowej, na potrzeby obsługi programów przesiewowych.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serwera aplikacyjnego typu Second Reader, w sposób automatyczny, bez konieczności ręcznego otwierania badań, przetwarza w tle badania CT, dokonuje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wyszukań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zmian w płucach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CAD, zapisuje je w seriach wynikowych DICOM w archiwum PACS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Results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nomenklaturą Producenta).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Serie wynikowe zapisane w PACS zawierają znaczniki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CAD wraz z towarzyszącymi warstwami.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angiografii CT umożliwiające: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identyfikację i izolację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zakontrastowanego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naczynia z objętości badanej,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rozwinięcie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wzdłuż linii centralnej naczynia,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włączanie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/wyłączanie zwapnień,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średnicy, pola przekroju w płaszczyźnie prostopadłej do osi naczynia,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długości naczynia wzdłuż krzywej,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rekonstrukcje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MPR krzywoliniowe oraz poprzeczne analizowanego naczynia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wyznaczanie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stenozy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automatycznego usuwania kości w obrębie czaszki i szyi metodą DSA w badaniach naczyniowych CT.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Algorytm DSA powinien dokonać subtrakcji serii badania bez kontrastu od kolejnej serii badania z kontrastem.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wyliczanie w naczyniach wieńcowych:</w:t>
            </w:r>
          </w:p>
          <w:p w:rsidR="007F7819" w:rsidRDefault="00FD6457">
            <w:pPr>
              <w:widowControl w:val="0"/>
              <w:numPr>
                <w:ilvl w:val="0"/>
                <w:numId w:val="16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łącznego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indeksu zwapnień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Calcium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Score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7F7819" w:rsidRDefault="00FD6457">
            <w:pPr>
              <w:widowControl w:val="0"/>
              <w:numPr>
                <w:ilvl w:val="0"/>
                <w:numId w:val="16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odrębnie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dla każdej głównej tętnicy wieńcowej: ilość zmian, łączna masa i objętość zwapnień, indeks zwapnień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Automatycznie zapisywanie w systemie PACS w odrębnej serii.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Obliczanie wykonywane automatycznie w tle, bez konieczności ręcznego otwierania badania przez użytkownika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Results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nazewnictwem Producenta).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wirtualnej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kolonografii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/ wirtualnej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bronchoskopii , 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umożliwiające: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beforeAutospacing="1"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segmentację jelita grubego,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jednoczesną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prezentację wnętrza jelita i projekcję przekrojów w trzech głównych płaszczyznach.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jednoczesną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prezentację badania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kolonografii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dwóch pozycjach (na brzuchu i na plecach) z synchronizacją przestrzenną.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polipów w widoku wewnątrzjelitowym 3D,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zaznaczanie kolorem resztek kałowych tzw.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stool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ukrywanie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jelita cienkiego,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wyświetlanie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odległości od odbytnicy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Pakiet oprogramowania do rozszerzonego raportowania obejmujący: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strukturalne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Tworzenie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trakcie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oceny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formacie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pdf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zapisem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systemie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RIS/PACS. 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zawierające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wskazania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zdjęcia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tabele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ilościami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wypełnianie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danymi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zebranymi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trakcie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oceny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 i MR. 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predefiniowane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szablony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2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shd w:val="clear" w:color="auto" w:fill="D5DCE4"/>
              </w:rPr>
              <w:t>WYPOSAŻENIE DODATKOWE</w:t>
            </w:r>
          </w:p>
        </w:tc>
      </w:tr>
      <w:tr w:rsidR="007F7819">
        <w:trPr>
          <w:trHeight w:val="9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trzykanałowy,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bezwkładowy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podawania kontrastu na </w:t>
            </w:r>
            <w:r w:rsidRPr="003502A7">
              <w:rPr>
                <w:rFonts w:ascii="Calibri" w:hAnsi="Calibri" w:cs="Calibri"/>
                <w:sz w:val="22"/>
                <w:szCs w:val="22"/>
              </w:rPr>
              <w:t xml:space="preserve">ruchomym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podwieszeniu sufitowym, </w:t>
            </w:r>
            <w:r w:rsidR="00587A4C">
              <w:rPr>
                <w:rFonts w:ascii="Calibri" w:hAnsi="Calibri" w:cs="Calibri"/>
                <w:color w:val="C00000"/>
                <w:sz w:val="22"/>
                <w:szCs w:val="22"/>
              </w:rPr>
              <w:t>o zasięgu minimum 1700 mm,</w:t>
            </w:r>
            <w:r w:rsidR="00587A4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ruchomość </w:t>
            </w:r>
            <w:r w:rsidR="00587A4C">
              <w:rPr>
                <w:rFonts w:ascii="Calibri" w:hAnsi="Calibri" w:cs="Calibri"/>
                <w:sz w:val="22"/>
                <w:szCs w:val="22"/>
              </w:rPr>
              <w:t xml:space="preserve">obrotowa </w:t>
            </w:r>
            <w:r>
              <w:rPr>
                <w:rFonts w:ascii="Calibri" w:hAnsi="Calibri" w:cs="Calibri"/>
                <w:sz w:val="22"/>
                <w:szCs w:val="22"/>
              </w:rPr>
              <w:t>min. 300 stopni: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Konsole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możliwością wprowadzenia parametrów badania zarówno na ekranie w sterowni jak i w pracowni TK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wyboru z menu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rodzaju (marki) środka kontrastowego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Ultradźwiękowy system wykrywania pęcherzyków powietrza w wężykach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zastosowania dla każdego z kanałów jednocześnie środków różnych producentów i o różnych stężeniach o pojemnościach od 50 do 500 ml oraz NaCl o pojemności do 1000 ml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Utrzymanie stałej temperatury wstępnie podgrzanego środka kontrastowego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wprowadzenia do pamięci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min. 30 protokołów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aktywnego monitorowania ciśnienia w trakcie iniekcji z wykresem i funkcją zatrzymania w przypadku niedrożności.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Oraz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Cieplarka do podgrzewania środków kontrastowych (poj.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30l) z możliwością podgrzania butelek o pojemności od 50 do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1000 ml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z temperatury pokojowej do 37 stopni C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833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Funkcja wyboru z menu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rozmiaru wkłucia indywidualnie dla każdego pacjenta w celu dostosowania optymalnych parametrów prędkości podania środka kontrastowego i zmniejszenia ryzyka wynaczynienia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-2 pkt</w:t>
            </w:r>
          </w:p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 fantomów wraz z oprogramowaniem i podstawkami do umieszczenia fantomów w stole do wykonywania podstawowych testów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tomografii komputerowej zgodnie z aktualnie obowiązującym Rozporządzeniu Ministra Zdrowia.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285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umożliwiające ostrzeżenie o przekroczeniu progu zdefiniowanej dawki, które:</w:t>
            </w:r>
          </w:p>
          <w:p w:rsidR="007F7819" w:rsidRDefault="00FD6457" w:rsidP="00FD6457">
            <w:pPr>
              <w:widowControl w:val="0"/>
              <w:numPr>
                <w:ilvl w:val="0"/>
                <w:numId w:val="67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ostrzega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operatora w przypadku przekroczenia ustawionych limitów dawek</w:t>
            </w:r>
          </w:p>
          <w:p w:rsidR="007F7819" w:rsidRDefault="00FD6457" w:rsidP="00FD6457">
            <w:pPr>
              <w:widowControl w:val="0"/>
              <w:numPr>
                <w:ilvl w:val="0"/>
                <w:numId w:val="68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pomaga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zabezpieczyć pacjenta przed nadmiernym napromieniowaniem</w:t>
            </w:r>
          </w:p>
          <w:p w:rsidR="007F7819" w:rsidRDefault="00FD6457" w:rsidP="00FD6457">
            <w:pPr>
              <w:widowControl w:val="0"/>
              <w:numPr>
                <w:ilvl w:val="0"/>
                <w:numId w:val="69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tworzy raport pacjenta po każdym badaniu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uniemożliwia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dokonywania nieautoryzowanych zmian w protokołach skanowania.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4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  <w:lang w:val="cs-CZ"/>
              </w:rPr>
            </w:pPr>
            <w:r>
              <w:rPr>
                <w:rFonts w:ascii="Calibri" w:hAnsi="Calibri" w:cs="Calibri"/>
                <w:sz w:val="22"/>
                <w:szCs w:val="22"/>
                <w:lang w:val="cs-CZ"/>
              </w:rPr>
              <w:t>Bezprzewodowoy moduł obrazowy wykorzystujący kolorowy Doppler ułatwiający założenie wkłucia u pacjenta z trudnym dostępem żylnym wyposażony min. w przetwornik liniowy wraz z możliwością wizualizacji na urządzneiu mobilnym.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4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Przenośnik rolkowo- taśmowy do przemieszczania pacjenta z łóżka na stół tomografu.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Wymiary min, 100 cm x 45 cm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2"/>
                <w:lang w:val="cs-CZ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Nośność min, 150 kg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13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Skaner obsługujący format dokumentów A4 i rozdzielczości min. 1200x1200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 komputer biurowy umożliwiający obsługę dostarczonego skanera celem archiwizacji dostarczonej dokumentacji pacjenta.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838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Trzy biurka o regulowanej wysokości w zakresie min. 70 -115 cm i nośności min. 180 kg </w:t>
            </w:r>
            <w:r w:rsidRPr="00F43491">
              <w:rPr>
                <w:rFonts w:ascii="Calibri" w:hAnsi="Calibri" w:cs="Calibri"/>
                <w:sz w:val="22"/>
                <w:szCs w:val="22"/>
              </w:rPr>
              <w:t>wraz z 3 ergonomicznymi fotelami biurowymi.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434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POZOSTAŁE WYMAGANIA</w:t>
            </w: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108.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Dostawa, instalacja oraz uruchomienie aparatu TK na koszt Wykonawcy w miejscu wskazanym przez Zamawiającego. Wykonawca przekaże urządzenie do eksploatacji ze wszystkimi niezbędnymi dokumentami (paszport techniczny etc.)</w:t>
            </w:r>
          </w:p>
          <w:p w:rsidR="00F52D93" w:rsidRDefault="00F52D93" w:rsidP="00F52D93">
            <w:pPr>
              <w:widowControl w:val="0"/>
              <w:snapToGrid w:val="0"/>
              <w:spacing w:before="96" w:after="96"/>
              <w:rPr>
                <w:rFonts w:ascii="Calibri" w:hAnsi="Calibri" w:cs="Calibri"/>
                <w:b/>
                <w:sz w:val="22"/>
                <w:szCs w:val="22"/>
              </w:rPr>
            </w:pPr>
            <w:r w:rsidRPr="00CB2FC6">
              <w:rPr>
                <w:rFonts w:ascii="Calibri" w:hAnsi="Calibri" w:cs="Calibri"/>
                <w:color w:val="000000"/>
                <w:sz w:val="22"/>
                <w:szCs w:val="22"/>
              </w:rPr>
              <w:t>Uzyskanie wszelkich niezbędnych zezwoleń na użytkowanie/ decyzji administracyjnych.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109.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testów odbiorczych oraz testów specjalistycznych (w tym testów monitorów) po instalacji urządzenia dla oferowanego zestawu rentgenowskiego zgodnie z aktualnie obowiązującym Rozporządzeniem Ministra Zdrowia (oddzielne protokoły dla testów odbiorczych i specjalistycznych).</w:t>
            </w:r>
          </w:p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testów akceptacyjnych po istotnych naprawach gwarancyjnych.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projektu oraz obliczeń osłon stałych dla dostarczanego aparatu.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111.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Dostawa nowej tablicy zasilającej tomograf wykonanej zgodnie z wytycznymi producenta TK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112.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Integracja sprzętu i oprogramowania dostarczonego w postepowaniu z systemem RIS/PACS/VNA objętym </w:t>
            </w:r>
            <w:r w:rsidR="00F43491">
              <w:rPr>
                <w:rFonts w:ascii="Calibri" w:hAnsi="Calibri" w:cs="Calibri"/>
                <w:sz w:val="22"/>
                <w:szCs w:val="22"/>
              </w:rPr>
              <w:t xml:space="preserve">niniejszym </w:t>
            </w:r>
            <w:r>
              <w:rPr>
                <w:rFonts w:ascii="Calibri" w:hAnsi="Calibri" w:cs="Calibri"/>
                <w:sz w:val="22"/>
                <w:szCs w:val="22"/>
              </w:rPr>
              <w:t>postępowaniem.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113.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Zamawiający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wymaga aby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dostarczone rozwiązanie nie posiadało żadnych ograniczeń licencyjnych i nie wymagało dodatkowego subskrybowania licencyjnego przez Zamawiającego jakiegokolwiek elementu będącego przedmiotem zamówienia.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114.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pacing w:beforeAutospacing="1"/>
              <w:rPr>
                <w:color w:val="C9211E"/>
              </w:rPr>
            </w:pPr>
            <w:r w:rsidRPr="00F43491">
              <w:rPr>
                <w:rFonts w:ascii="Calibri" w:hAnsi="Calibri" w:cs="Calibri"/>
                <w:sz w:val="22"/>
                <w:szCs w:val="20"/>
              </w:rPr>
              <w:t>Demontaż i utylizacja aktualnie użytkowanego aparatu TK – dostawca przedstawi w szpitalu Kartę Przekazania Odpadu.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F0B30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30" w:rsidRDefault="00EF0B3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114a.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30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Dostosowanie pomieszczenia do dostawy nowego TK, w tym:</w:t>
            </w:r>
          </w:p>
          <w:p w:rsidR="0078612E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 xml:space="preserve">- wymiana wykładziny typu </w:t>
            </w:r>
            <w:proofErr w:type="spellStart"/>
            <w:r>
              <w:rPr>
                <w:rFonts w:ascii="Calibri" w:hAnsi="Calibri" w:cs="Calibri"/>
                <w:sz w:val="22"/>
                <w:szCs w:val="20"/>
              </w:rPr>
              <w:t>Tarkett</w:t>
            </w:r>
            <w:proofErr w:type="spellEnd"/>
            <w:r>
              <w:rPr>
                <w:rFonts w:ascii="Calibri" w:hAnsi="Calibri" w:cs="Calibri"/>
                <w:sz w:val="22"/>
                <w:szCs w:val="20"/>
              </w:rPr>
              <w:t xml:space="preserve"> (odprowadzająca ładunki elektrostatyczne)</w:t>
            </w:r>
          </w:p>
          <w:p w:rsidR="0078612E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 xml:space="preserve">- dostosowanie sufitu do zawieszenia </w:t>
            </w:r>
            <w:proofErr w:type="spellStart"/>
            <w:r>
              <w:rPr>
                <w:rFonts w:ascii="Calibri" w:hAnsi="Calibri" w:cs="Calibri"/>
                <w:sz w:val="22"/>
                <w:szCs w:val="20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0"/>
              </w:rPr>
              <w:t xml:space="preserve"> do kontrastu,</w:t>
            </w:r>
          </w:p>
          <w:p w:rsidR="0078612E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- wymiana klimatyzacji na dostosowaną od wymagań aparatu TK,</w:t>
            </w:r>
          </w:p>
          <w:p w:rsidR="0078612E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- poprawa mocowania istniejących drzwi wejściowych do pomieszczenia TK,</w:t>
            </w:r>
          </w:p>
          <w:p w:rsidR="0078612E" w:rsidRPr="00F43491" w:rsidRDefault="006B7C3F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- malowanie ścian w pomieszczeniu, gdzie znajduje się konsola operatorska.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30" w:rsidRDefault="0078612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30" w:rsidRDefault="00EF0B3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SZKOLENIA</w:t>
            </w:r>
          </w:p>
        </w:tc>
      </w:tr>
      <w:tr w:rsidR="007F7819">
        <w:trPr>
          <w:trHeight w:val="2117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20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7BA" w:rsidRPr="001457BA" w:rsidRDefault="001457BA" w:rsidP="001457BA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1457BA">
              <w:rPr>
                <w:rFonts w:ascii="Calibri" w:hAnsi="Calibri" w:cs="Calibri"/>
                <w:sz w:val="22"/>
                <w:szCs w:val="22"/>
                <w:lang w:val="pl-PL"/>
              </w:rPr>
              <w:t xml:space="preserve">Szkolenie specjalistyczne/ </w:t>
            </w:r>
            <w:bookmarkStart w:id="1" w:name="_GoBack"/>
            <w:bookmarkEnd w:id="1"/>
            <w:r w:rsidRPr="00E64C7A">
              <w:rPr>
                <w:rFonts w:ascii="Calibri" w:hAnsi="Calibri" w:cs="Calibri"/>
                <w:sz w:val="22"/>
                <w:szCs w:val="22"/>
                <w:highlight w:val="yellow"/>
                <w:lang w:val="pl-PL"/>
              </w:rPr>
              <w:t>instruktaż</w:t>
            </w:r>
            <w:r w:rsidRPr="001457BA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dla lekarzy/techników/fizyków/innego personelu odpowiednio z obsługi systemu, aplikacji oraz wykonywania testów </w:t>
            </w:r>
            <w:proofErr w:type="gramStart"/>
            <w:r w:rsidRPr="001457BA">
              <w:rPr>
                <w:rFonts w:ascii="Calibri" w:hAnsi="Calibri" w:cs="Calibri"/>
                <w:sz w:val="22"/>
                <w:szCs w:val="22"/>
                <w:lang w:val="pl-PL"/>
              </w:rPr>
              <w:t>kontroli jakości</w:t>
            </w:r>
            <w:proofErr w:type="gramEnd"/>
            <w:r w:rsidRPr="001457BA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na zaoferowanym aparacie, potwierdzone certyfikatami, co najmniej:</w:t>
            </w:r>
          </w:p>
          <w:p w:rsidR="001457BA" w:rsidRPr="001457BA" w:rsidRDefault="001457BA" w:rsidP="001457BA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1457BA">
              <w:rPr>
                <w:rFonts w:ascii="Calibri" w:hAnsi="Calibri" w:cs="Calibri"/>
                <w:sz w:val="22"/>
                <w:szCs w:val="22"/>
                <w:lang w:val="pl-PL"/>
              </w:rPr>
              <w:t>8 dni x 7 godz. po instalacji i uruchomieniu aparatu</w:t>
            </w:r>
          </w:p>
          <w:p w:rsidR="007F7819" w:rsidRDefault="001457BA" w:rsidP="001457BA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1457BA">
              <w:rPr>
                <w:rFonts w:ascii="Calibri" w:hAnsi="Calibri" w:cs="Calibri"/>
                <w:sz w:val="22"/>
                <w:szCs w:val="22"/>
                <w:lang w:val="pl-PL"/>
              </w:rPr>
              <w:t>8 dni x 7 godz. w czasie trwania gwarancji z zakresu obsługi i procedur wykonywanych na zaoferowanym aparacie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1E0" w:firstRow="1" w:lastRow="1" w:firstColumn="1" w:lastColumn="1" w:noHBand="0" w:noVBand="0"/>
      </w:tblPr>
      <w:tblGrid>
        <w:gridCol w:w="567"/>
        <w:gridCol w:w="6078"/>
        <w:gridCol w:w="1419"/>
        <w:gridCol w:w="2994"/>
      </w:tblGrid>
      <w:tr w:rsidR="007F7819">
        <w:trPr>
          <w:trHeight w:val="648"/>
        </w:trPr>
        <w:tc>
          <w:tcPr>
            <w:tcW w:w="11057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hd w:val="clear" w:color="auto" w:fill="D5DCE4" w:themeFill="text2" w:themeFillTint="33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7F7819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Gwarancja pełna (bez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wyłączeń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54  m-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na sprzęt i oprogramowanie wraz z wystawieniem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18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W trakcie trwania gwarancji wszystkie przeglądy techniczne oraz konserwacje przewidziane przez producenta wraz z materiałami zużywalnymi wykonywane na koszt Wykonawcy łącznie z dojazdem (nie rzadziej jednak niż raz w każdym rozpoczętym roku udzielonej gwarancji).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dostawy, naprawy pokrywa Wykonawca.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3.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reakcji na zgłoszenie usterki do 24 godzin w dni robocze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rozumiane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dni od pn.-pt. z wyłączeniem dni ustawowo wolnych od pracy. </w:t>
            </w:r>
          </w:p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  <w:highlight w:val="magenta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u w:color="000000"/>
              </w:rPr>
              <w:t>Czas reakcji w dni ustawowo wolne od pracy - 48 godzin.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bez użycia części zamiennych – do 48 godzin w dni robocze 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z użyciem części zamiennych – do 96 godzin w dni robocze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 w:rsidTr="00087052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  <w:r w:rsidR="00041F3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41F39" w:rsidRPr="00041F39">
              <w:rPr>
                <w:rFonts w:ascii="Calibri" w:hAnsi="Calibri" w:cs="Calibri"/>
                <w:sz w:val="22"/>
                <w:szCs w:val="22"/>
                <w:highlight w:val="yellow"/>
              </w:rPr>
              <w:t>skutkującej brakiem możliwości eksploatacji aparatu.</w:t>
            </w:r>
            <w:r w:rsidR="00041F3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Okres zagwarantowania dostępności oryginalnych części zamiennych od daty podpisania protokołu odbioru - 10 lat</w:t>
            </w:r>
          </w:p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zakresie sprzętu teleinformatycznego wymagana gwarancja 5-letniego dostępu do wszystkich oryginalnych części.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 pogwarancyjny dostępny przez okres, co najmniej 10 lat od daty podpisania protokołu odbioru.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Zdalna diagnostyka systemu za pośrednictwem łącza szerokopasmowego lub ISDN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Style w:val="abcZnakZnak"/>
                <w:rFonts w:ascii="Calibri" w:hAnsi="Calibri" w:cs="Calibri"/>
                <w:b w:val="0"/>
                <w:sz w:val="20"/>
                <w:szCs w:val="20"/>
              </w:rPr>
            </w:pPr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Otwartość platformy serwisowej oferowanego urządzenia – brak </w:t>
            </w:r>
            <w:proofErr w:type="spellStart"/>
            <w:proofErr w:type="gramStart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>wyłączeń</w:t>
            </w:r>
            <w:proofErr w:type="spell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co</w:t>
            </w:r>
            <w:proofErr w:type="gram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do licencji oprogramowania serwisowego, przekazanie (nieodpłatnie) po okresie gwarancji wszelkich kodów dostępu, umożliwiających m.in. diagnostykę urządzenia w przypadku awarii, wykonanie kalibracji, wykonanie okresowego przeglądu technicznego, oraz wymianę lampy </w:t>
            </w:r>
            <w:proofErr w:type="spellStart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>rtg</w:t>
            </w:r>
            <w:proofErr w:type="spell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przez profesjonalny serwis, inny niż Wykonawcy – przekazanie kodów po podpisaniu odpowiedniej umowy licencyjnej.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12. 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Paszport techniczny w języku polskim dostarczony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429" w:hanging="429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Dostarczenie instrukcji obsługi i instrukcji technicznej urządzenia w dwóch egzemplarzach: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języku polskim w wersji elektronicznej 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Pr="00FA0506" w:rsidRDefault="00FD6457">
            <w:pPr>
              <w:widowControl w:val="0"/>
              <w:ind w:left="429" w:hanging="429"/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A0506">
              <w:rPr>
                <w:rFonts w:ascii="Calibri" w:hAnsi="Calibri" w:cs="Calibri"/>
                <w:strike/>
                <w:sz w:val="22"/>
                <w:szCs w:val="22"/>
              </w:rPr>
              <w:t>14.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Pr="00FA0506" w:rsidRDefault="00FD6457">
            <w:pPr>
              <w:widowControl w:val="0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A0506">
              <w:rPr>
                <w:rFonts w:ascii="Calibri" w:hAnsi="Calibri" w:cs="Calibri"/>
                <w:strike/>
                <w:sz w:val="22"/>
                <w:szCs w:val="22"/>
              </w:rPr>
              <w:t>Instalacja i uruchomienie</w:t>
            </w:r>
          </w:p>
          <w:p w:rsidR="007F7819" w:rsidRPr="00FA0506" w:rsidRDefault="00FD6457">
            <w:pPr>
              <w:widowControl w:val="0"/>
              <w:ind w:left="69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A0506">
              <w:rPr>
                <w:rFonts w:ascii="Calibri" w:hAnsi="Calibri" w:cs="Calibri"/>
                <w:strike/>
                <w:sz w:val="22"/>
                <w:szCs w:val="22"/>
              </w:rPr>
              <w:t>Wszelkiego rodzaju ewentualne dodatkowe koszty związane z niezbędnym dodatkowym licencjonowaniem oraz integrowaniem dostarczonych urządzeń z rozwiązaniami posiadanymi przez Zamawiającego, pokrywa Wykonawca 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Pr="00FA0506" w:rsidRDefault="00FD6457">
            <w:pPr>
              <w:widowControl w:val="0"/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FA0506">
              <w:rPr>
                <w:rFonts w:ascii="Calibri" w:hAnsi="Calibri" w:cs="Calibri"/>
                <w:strike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Pr="00FA0506" w:rsidRDefault="007F7819">
            <w:pPr>
              <w:widowControl w:val="0"/>
              <w:jc w:val="center"/>
              <w:rPr>
                <w:rFonts w:ascii="Calibri" w:hAnsi="Calibri" w:cs="Calibri"/>
                <w:strike/>
              </w:rPr>
            </w:pPr>
          </w:p>
        </w:tc>
      </w:tr>
    </w:tbl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58"/>
      </w:tblGrid>
      <w:tr w:rsidR="007F7819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7F7819" w:rsidRDefault="00FD6457">
            <w:pPr>
              <w:pStyle w:val="tekstwstpny"/>
              <w:widowControl w:val="0"/>
              <w:spacing w:before="0" w:after="0"/>
              <w:jc w:val="center"/>
              <w:rPr>
                <w:b/>
                <w:sz w:val="24"/>
                <w:u w:val="single"/>
              </w:rPr>
            </w:pPr>
            <w:r>
              <w:rPr>
                <w:rFonts w:eastAsia="Arial Unicode MS"/>
                <w:b/>
                <w:sz w:val="24"/>
                <w:szCs w:val="22"/>
                <w:u w:val="single"/>
                <w:lang w:eastAsia="ar-SA"/>
              </w:rPr>
              <w:t xml:space="preserve">II. </w:t>
            </w:r>
            <w:r>
              <w:rPr>
                <w:b/>
                <w:sz w:val="24"/>
                <w:u w:val="single"/>
              </w:rPr>
              <w:t>Dostawa systemu radiologicznego RIS/PACS/VNA z migracją danych i integracją.</w:t>
            </w:r>
          </w:p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ascii="Calibri" w:hAnsi="Calibri" w:cs="Calibri"/>
                <w:b/>
                <w:sz w:val="22"/>
                <w:u w:val="single"/>
              </w:rPr>
            </w:pPr>
          </w:p>
          <w:p w:rsidR="007F7819" w:rsidRDefault="007F7819">
            <w:pPr>
              <w:pStyle w:val="Nagwek"/>
              <w:widowControl w:val="0"/>
              <w:tabs>
                <w:tab w:val="left" w:pos="708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Look w:val="0400" w:firstRow="0" w:lastRow="0" w:firstColumn="0" w:lastColumn="0" w:noHBand="0" w:noVBand="1"/>
      </w:tblPr>
      <w:tblGrid>
        <w:gridCol w:w="566"/>
        <w:gridCol w:w="6097"/>
        <w:gridCol w:w="1420"/>
        <w:gridCol w:w="2975"/>
      </w:tblGrid>
      <w:tr w:rsidR="007F7819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F7819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7F7819">
        <w:trPr>
          <w:trHeight w:val="87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Lp.</w:t>
            </w:r>
          </w:p>
          <w:p w:rsidR="007F7819" w:rsidRDefault="007F7819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7F7819">
        <w:trPr>
          <w:trHeight w:val="37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4</w:t>
            </w:r>
          </w:p>
        </w:tc>
      </w:tr>
      <w:tr w:rsidR="007F7819">
        <w:trPr>
          <w:trHeight w:val="367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Licencja na czas określony </w:t>
            </w:r>
            <w:r w:rsidRPr="00FD6457">
              <w:rPr>
                <w:rFonts w:ascii="Calibri" w:hAnsi="Calibri" w:cs="Calibri"/>
                <w:sz w:val="22"/>
                <w:szCs w:val="22"/>
              </w:rPr>
              <w:t>48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 miesięcy.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obsługę jednej placówki (fizycznej lokalizacji) i podłączenie do oferowanego oprogramowania: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urządzenia klasy CT lub MR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minimum 4 urządzenia klasy CR,DX,MG,IO,PX,BMD,US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jednoczesną pracę minimum 100 użytkowników systemu (z wyłączeniem webowej przeglądarki diagnostycznej DICOM). Oprogramowanie musi być oparte na koncepcji licencji przyznanych użytkownikowi systemu a nie stacji roboczej tj. licencja pływająca.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korzystanie z usług DICOM DIMSE z użyciem wbudowanego serwera VPN przez minimum 10 określonych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podłączenie minimum 1 duplikatora CD/DVD.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ograniczeń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licencyjnych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stacji roboczych, na których jest użytkowany system.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ograniczeń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licencyjnych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zarchiwizowanych badań lub danych obrazowych w systemie.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standardu kodowania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Unicode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UTF-8.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Zgodność ze standardem DICOM 3.0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zakresie komunikacji z urządzeniami medycznymi i stacjami diagnostycznymi.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generowania DICOM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Modality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podstawie zlecenia badania odebranego z systemu HIS oraz wprowadzonego w module zarządzania badaniami.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zarejestrowany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wyrób medyczny i posiadający oznakowanie znakiem CE lub równoważne oraz deklaracje producenta w zakresie zgodności z wymaganiami dyrektywy MDD 93/42/EWG lub Rozporządzenia Parlamentu Europejskiego i Rady UE 2017/745 z dnia 5 kwietnia 2017 r. w sprawie wyrobów medycznych, zmiany dyrektywy 2001/83/WE, rozporządzenia (WE) nr 178/2002 i rozporządzenia (WE) nr 1223/2009 oraz uchylenia dyrektyw Rady 90/385/EWG i 93/42/EWG lub równoważne dla wyrobu medycznego co najmniej klasy I oraz został zgłoszony do Urzędu Rejestracji Produktów Leczniczych, Wyrobów Medycznych i Produktów Biobójczych jako wyrób medyczny co najmniej klasy 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okresie licencyjnym Wykonawca zapewni archiwizację minimum 15 TB danych DICOM w zewnętrznym Data Center przechowującym kopie danych w minimum dwóch oddzielnych fizycznych lokalizacjach. Data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Center w których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przechowywane są dane muszą posiadać minimum certyfikat zgodności z normą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ISO 27001, ISO 27017, ISO 27018, ISO 27701, ISO 22301, ISO 9001 </w:t>
            </w:r>
            <w:r>
              <w:rPr>
                <w:rFonts w:ascii="Calibri" w:hAnsi="Calibri" w:cs="Calibri"/>
                <w:sz w:val="22"/>
                <w:szCs w:val="22"/>
              </w:rPr>
              <w:t>oraz certyfikat bezpieczeństwa informacji CSA STAR CCM v4.</w:t>
            </w:r>
          </w:p>
          <w:p w:rsidR="007F7819" w:rsidRDefault="007F781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15 TB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TB – 1,5 pkt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30 TB – 2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Dostępny raport lub informacja w panelu zarządzania systemem odnośnie aktualnego stopnia wykorzystania dostępnej przestrzeni.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 okresie licencji Wykonawca zapewni infrastrukturę serwerową w zewnętrznym Data Center w modelu chmurowym SaaS pozwalającą na eksploatację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Wykonawca zapewni, że dane w procesie przekazywania i przechowywania w Data Center, są szyfrowane, a wykorzystane rozwiązania zapewniają ochronę danych w modelu end-to-end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encryption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okresie licencji Wykonawca zapewni w siedzibie Zamawiającego serwer danych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o pojemności nie mniejszej niż 6 TB.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użytkownika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języku polskim i angielskim.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obsługiwany w całości przez przeglądarkę internetową bez konieczności instalowania dodatków do przeglądarek.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kompatybilne z najnowszą wersją przeglądarek minimum Chrome,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Firefox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komputerach z aktualnym systemem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 w:rsidP="00B95CB3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Termin realizacji zakresu przedmiotu Zamówienia objętego opisem przedmiotu zamówienia maksymalnie </w:t>
            </w:r>
            <w:r w:rsidRPr="00B95CB3">
              <w:rPr>
                <w:rFonts w:ascii="Calibri" w:hAnsi="Calibri" w:cs="Calibri"/>
                <w:sz w:val="22"/>
                <w:szCs w:val="22"/>
                <w:highlight w:val="yellow"/>
              </w:rPr>
              <w:t>1</w:t>
            </w:r>
            <w:r w:rsidR="00B95CB3" w:rsidRPr="00B95CB3">
              <w:rPr>
                <w:rFonts w:ascii="Calibri" w:hAnsi="Calibri" w:cs="Calibri"/>
                <w:sz w:val="22"/>
                <w:szCs w:val="22"/>
                <w:highlight w:val="yellow"/>
              </w:rPr>
              <w:t>2</w:t>
            </w:r>
            <w:r w:rsidRPr="00B95CB3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 tygodni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95CB3" w:rsidRPr="00AF5ABC">
              <w:rPr>
                <w:rFonts w:ascii="Arial" w:hAnsi="Arial" w:cs="Arial"/>
                <w:sz w:val="20"/>
                <w:szCs w:val="20"/>
                <w:highlight w:val="yellow"/>
                <w:lang w:eastAsia="ar-SA"/>
              </w:rPr>
              <w:t xml:space="preserve">od dnia </w:t>
            </w:r>
            <w:r w:rsidR="00B95CB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protokolarnego umożliwienia Wykonawcy realizacji przedmiotu zamówienia w siedzibie Zamawiającego </w:t>
            </w:r>
            <w:r w:rsidR="00B95CB3">
              <w:rPr>
                <w:rFonts w:ascii="Arial" w:hAnsi="Arial" w:cs="Arial"/>
                <w:sz w:val="20"/>
                <w:szCs w:val="20"/>
                <w:highlight w:val="yellow"/>
                <w:lang w:eastAsia="ar-SA"/>
              </w:rPr>
              <w:t>(niezwłocznie po podpisaniu umowy)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Zamawiający wymaga przeszkolenia użytkowników i administratorów w zakresie obsługi eksploatacyjnej i zarządzania systemem. Wymagane jest udokumentowane ukończenie szkolenia np. poprzez wystawienie stosowanego certyfikatu, dyplomu lub zaświadczenia. Dokument poświadczający ukończenie szkolenie musi zawierać minimum imię i nazwisko osoby szkolonej, datę szkolenia, tytuł szkolenia i zakres szkolenia.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Administracja systemem</w:t>
            </w: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zdefiniowania struktury organizacyjnej podmiotu leczniczego w systemie z wyszczególnieniem komórek organizacyjnych i ich kodów resortowych (min. I, V, VII, i VIII) zgodnie z wpisem w księdze rejestrowej podmiotów wykonujących działalność leczniczą.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danych identyfikujących podmiot leczniczy w interfejsie użytkownika wraz z identyfikacją graficzną tj. możliwość stosowania logotypów.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zarządzania użytkownikami z możliwością minimum: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definiowania ról w systemie,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określania danych podstawowych użytkownika (imię, nazwisko, login, hasło),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określania danych niezbędnych do utworzenia EDM wraz z walidacją danych (min. PESEL i/lub PWZL, zawód medyczny, posiadane specjalizacje),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funkcji w pracowni (min. technik, lekarz opisujący, konsultujący, wykonujący, pielęgniarka),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określenia zakresu widoczności badań w oparciu o zdefiniowane reguły.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7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ograniczenia widoczności wybranych badań użytkownikom, w oparciu o zdefiniowane reguły z wykorzystaniem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rodzaju badania (TK, RTG, MR),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jednostki kierującej,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lekarza kierującego,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 wykonującej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aktualnie zalogowanego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regułami walidacji danych w zleceniu w zależności od zdefiniowanego płatnika, pracowni wykonujących jak i statusu zlecenia z możliwością wymuszenia na użytkowniku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wyboru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funkcji personelu biorącego udział w procedurze,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dotyczących płatnika,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rozpoznania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lekarza kierującego na badanie,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jednostki kierującej na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daty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dokumentów stanowiących załącznik do zlecenia.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Automatyzacja obiegów pracy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minimum z możliwością zaplanowania automatycznej zmiany statusu zlecenia w zależności od: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nazwy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priorytetu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modalności procedury (np.: TK, MR, USG),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 wykonującej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1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zarządzania słownikami systemu z możliwością samodzielnego dodawania, edycji i usuwania wpisów przez administratora, w tym min. w zakresie: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procedur medycznych,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jednostek zlecających (płatników),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jednostek kierujących,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materiałów i/lub kontrastów,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lekarzy kierujących,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funkcji w pracowni,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specjalizacji lekarskich,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środków kontrastowych i leków,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materiałów,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płatników oraz rodzajów płatników.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Integracja ze słownikiem RPWDL (P2) z wbudowaną najnowszą wersją słownika RPWDL w zakresie podmiotów leczniczych jak i praktyk lekarskich.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dodawania notatek do badania i wymiany notatek pomiędzy modułami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Logowanie wykonanych operacji przez użytkownika systemu wraz z możliwością przeglądania zalogowanych operacji przez użytkowników, którym nadano takie uprawnienia.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Przesyłanie danych za pomocą bezpiecznego protokołu HTTPS.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Bezpieczeństwo i zarządzanie dostępem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Mechanizmy kontroli dostępu oparte o role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użytkownika -  Role-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Based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Authorization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Control (RBAC).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Funkcjonalności wspólnego logowania (Single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Sign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-On, SSO) do wszystkich modułów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Współpraca z usługą Active Directory (usługą katalogową systemu Windows polegającą na jednomiejscowej lokalizacji uprawnień użytkowników, obiektów w sieci i ich udostępniania).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wykorzystania kontrolera domeny obsługującego protokół LDAP w zakresie minimum autoryzacji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uwierzytelniania dwuskładnikowego (2-Factor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Authentication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2FA).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 wygenerowania jednorazowych kodów zapasowych przynajmniej podczas włączania uwierzytelniania dwuskładnikowego.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Tal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przez użytkowników własnym profilem z możliwością minimum zmiany hasła i włączenia logowania dwuskładnikowego.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określania polityk złożoności i czasu obowiązywania haseł, funkcjonalność wymuszania zmiany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hasła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określony interwał czasu oraz obligatoryjności lub opcjonalności stosowania 2FA.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konfiguracji automatycznego zablokowania konta po określonej ilości nieudanych prób zalogowania.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zresetowania hasła przez użytkownika z użyciem zweryfikowanego adresu email oraz możliwość zmiany hasła przez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zresetowania hasła przez użytkownika z użyciem zweryfikowanego numeru telefonu komórkowego oraz możliwość zmiany hasła przez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mechanizm wymuszenia weryfikacji podanego przez użytkownika adresu e-mail pozwalający na sprawdzenie istnienia konta e-mail i dostępu do niego przez wysłanie wiadomości e-mail na podany adres. 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mechanizm wymuszenia weryfikacji podanego przez użytkownika numeru telefonu pozwalający na sprawdzenie istnienia numeru telefonu i dostępu do niego przez wysłanie wiadomości SMS na podany numer. 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mechanizm wykrywania próby ustawienia hasła znajdującego się na publicznie dostępnych listach skompromitowanych haseł, bez ujawniania hasła użytkownika podmiotom trzecim.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aktywnych sesji przez użytkownika z możliwością indywidualnego zakończenia sesji otwartych na innych stanowiskach komputerowych.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aktualnie zalogowanych użytkowników i zdalnego wylogowania użytkowników przez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czasu rozpoczęcia i zakończenia aktywności konta.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przypisania uprawnień i ról użytkownikom w zakresie dostępu do akcji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 poszczególnych modułów systemu.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zadeklarowania maksymalnego czasu trwania sesji użytkownika w przypadku jego bezczynności.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Uruchomienia aplikacji wraz z jej ustawieniami na różnych komputerach bez interwencji serwisowej.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nie może przechowywać lokalnie (na stacji końcowej użytkownika) danych obrazowych, plików z opisami badań ani bazy danych wykonanych badań/pacjentów.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musi zapewnić skanowanie antywirusowe wszystkich plików wczytywanych do systemu przez użytkownika, w tym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skanów dokumentów, załączników do badań, plików HL7 CDA, obrazów, plików dźwiękowych z nagraniami, a w przypadku wykrycia złośliwego oprogramowania uniemożliwić zapisanie pliku do systemu, poinformować o tym użytkownika końcowego i odnotować zdarzenie w logach dostępnych dla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zapewnić skanowanie antywirusowe „w locie” wszystkich plików DICOM wczytywanych do systemu, w tym danych obrazowych pochodzących z podłączonych aparatów diagnostycznych, wszelkich zewnętrznych węzłów DICOM oraz badań porównawczych, wczytywanych z nośników zewnętrznych. W przypadku wykrycia złośliwego oprogramowania, system musi uniemożliwić zapisanie pliku do systemu, poinformować o tym użytkownika końcowego i odnotować zdarzenie w logach dostępnych dla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korzystać z bazy danych badań dostarczonego modułu archiwum obrazowego (architektura klient - serwer).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archiwizacji obrazów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Obsługa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DICOM 3.0 (Query C-FIND, Retrieve C-MOVE, Retrieve C-GET, Store C-STORE, DICOM Modality Worklist, Storage Commitment, MPPS).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DICOMweb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(WADO-RS, QUIDO-RS, STOW-RS).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7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asynchronicznego C-MOVE i C-GET oraz możliwość konfiguracji przez użytkownika administracyjnego równoległego przesyłania obrazów w ramach operacji C-MOVE dla wybranych węzłów DICOM dla zapewnienia optymalnego wykorzystania łącza internetowego.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lokalnymi serwerami za pomocą interfejsu WWW przez uprawnionych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Brak limitu węzłów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zarządzania węzłami DICOM przez uprawnionych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historycznych danych obrazowych (pełnych badań i/lub serii) z dowolnego węzła DICOM wyzwalany w oparciu min. o zdarzenia: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Nadejście dnia poprzedzającego datę planowanego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pacjenta w dniu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Zlecenie (przez technika) opisu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Zaplanowanie badania w terminarzu.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Otrzymanie dowolnego komunikatu HL7 ORM.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Otrzymanie badania DICOM z możliwością zdefiniowania warunków transferu poprzednich badań i/lub serii w oparciu o jeden lub więcej parametrów badań, w tym min.: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określonej liczby lat wstecz,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określonej liczby badań poprzednich wg. daty wykonania,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modalności,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okolicy anatomicznej określonej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tagach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nazwy badania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tagach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jednostki kierującej i/lub komórki kierującej na badanie.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wykluczenie z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przesyłania jednej lub wielu serii w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oparciu o wybrane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SOPClassUID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tym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MR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CT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SR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XA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Enhanced XRF Image Storage.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ograniczenie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tylko do przesyłania jednej lub wielu serii w oparciu o wybrane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SOPClassUID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tym minimum.: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X-Ray Radiation Dose SR,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Basic Text SR,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Secondary Capture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 w:line="290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X-Ray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Radiofluoroscopic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Ultrasound Image Storage - Ultrasound Multi-frame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XRF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X-Ray 3D Angiographic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Nuclear Medicine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Mammography X-Ray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CT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Computed Radiography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X-Ray Image Storage - For Presentation,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X-Ray Image Storage - For Processing.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Definiowanie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danych obrazowych przez uprawnionych użytkowników z możliwością definiowania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priorytetu transferu danych DICOM z wyróżnieniem min. 3 stopni,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źródłowego węzła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jednego lub wielu docelowych węzłów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zakresu transferowanych danych z możliwością określenia warunków w oparciu o jeden lub kilka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 a także zdefiniowane w systemie pracownie, jednostki kierujące, komórki jednostki kierującej, lekarza kierującego.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zdefiniowanie zadań modyfikacji jednego lub wielu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podczas transferu badań, w tym w ramach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Wbudowana,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nielimitowana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równoczasowych użytkowników i stanowisk, referencyjna przeglądarka webowa DICOM (obsługa modalności m.in. CT, MR, DX, CR, XA, US, ES).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Upload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badań porównawczych do systemu z możliwością powiązania wgrywanego badania z istniejącym w systemie pacjentem, w taki sposób, aby wczytane do systemu badanie zewnętrzne było prezentowane podczas opisu badania lekarzowi,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nawet jeśli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dane identyfikacyjne pacjenta w DICOM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Patient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ID, data urodzenia, Imię, Nazwisko) różnią się od danych pacjenta w systemie.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OsiriX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MD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RadiAnt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Tomocon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Weasis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eFilm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szybkiego pobrania i otwarcia obrazów DICOM na stacji roboczej INFINITT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syngoVia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(Siemens)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AW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server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(GE)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iQ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VIEW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Carestream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 szybkiego wysłania obrazów DICOM powiązanych z zaznaczonymi zleceniami opisu na liście zleceń opisu dla radiologa do wybranego węzła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udostępniania obrazów - możliwość generowania linka HTTPS pozwalającego na dostęp do obrazów z dowolnego miejsca z użyciem wbudowanej webowej przeglądarki referencyjnej obrazów DICOM. Możliwość zarządzania wygenerowanymi linkami do obrazów, w tym możliwość ich dezaktywacji oraz śledzenia historii dostępu.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udostępnionych obrazów przez linka http musi być chroniony minimum kodem PIN.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zarządzania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możliwością edycji istniejących list roboczych i tworzenia nowych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oparciu o zarejestrowane zlecenia z min. zawężeniem reguł tworzenia wpisów na konkretnej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workliście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wybranych modalności DICOM oraz pracowni zdefiniowanych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podglądu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poziomu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listy badań DICOM w systemie, przeszukiwania bazy danych badań DICOM i sortowania wyników wyszukiwania w oparciu min. o jedno lub więcej kryteriów: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wstawienia badania do archiwum,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wiek pacjenta w momencie badania w latach,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atient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Name (0010,0010),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Patient ID (0010,0020),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Other Patient IDs (0010,1000),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Description (0008,1030),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Institution Name (0008,0080),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Referring Physician Name (0008,0090),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 xml:space="preserve">Patient Sex (0010,0040),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Study Instance UID (0020,000D),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Accession Number (0008,0050),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Study ID (0020,0010),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Time (0008,0030),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Date (0008,0020),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Modality.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bookmarkStart w:id="2" w:name="_Hlk144106935"/>
            <w:r>
              <w:rPr>
                <w:rFonts w:ascii="Calibri" w:hAnsi="Calibri" w:cs="Calibri"/>
                <w:b/>
                <w:sz w:val="22"/>
                <w:szCs w:val="22"/>
              </w:rPr>
              <w:t>Moduł zarządzania badaniami - rejestracji badań</w:t>
            </w:r>
            <w:bookmarkEnd w:id="2"/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rejestracji pacjentów bezpośrednio w systemie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skanowanie dokumentów i dołączania ich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pacjentów na podstawie zewnętrznych skierowań HL7 oraz możliwość tworzenia rekordów pacjentów w oparciu o otrzymane pliki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pacjentów na podstawie zleceń z HIS oraz e-skierowań z systemu P1.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standardu HL7 CDA PIK z możliwością podglądu załączonej do zlecenia HL7 elektronicznej dokumentacji medycznej (EDM) w zakresie opublikowanych przez CSIOZ szablonów dokumentów.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wczytywania plików HL7 CDA PIK bezpośrednio do systemu i ich wizualizacji.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6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widocznością jednostek (pracowni) podmiotu dla użytkowników (możliwość ograniczenia dostępu użytkownikom tylko do zleceń z wybranych pracowni).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rodzajami płatników (min. badania szpitalne, ubezpieczenie publiczne, umowy komercyjne, badania prywatne) z możliwością rozróżnienia badań na liście minimum kolorem.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procedurami radiologicznymi z możliwością określenia minimum: kodu wewnętrznego procedury, nazwy, krótkiej nazwy, kodu ICD9, typu badania, okolicy anatomicznej.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podanych lekach i środkach kontrastujących w tym minimum o rodzajach podanych środków kontrastowych, ilości, drodze podania, osobie podającej i informacji o wystąpieniu ewentualnych działań niepożądanych.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wadze i wzroście pacjenta wraz z automatycznym wyliczeniem BMI.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poziomie kreatyniny, glukozy, TSH z możliwością automatycznego wyliczenia GFR i prezentacji informacji o wydolności nerek (dla badań kontrastowych).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zużytych materiałach.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ekspozycjach w przypadku badań RTG/TK z możliwością wprowadzenia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liczby ekspozycji,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dla RTG: DAP,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dla TK: CTDI, DLP, rozmiaru użytego fantomu dla CTDI, SSDE,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uwag dotyczących ekspozycji.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słownikiem materiałów, leków i środków kontrastujących z możliwością grupowania poszczególnych preparatów oraz ograniczeniem ich dostępności do poszczególnych pracowni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zdalnego zlecania nagrań CD/DVD na duplikatorach w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różnych lokalizacjach.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i podłączenie jednej sztuki duplikatora oraz na wypalanie płyt na nieograniczonej ilości nagrywarek lokalnych w rejestracji w ramach przedmiotu zamówienia.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  <w:p w:rsidR="007F7819" w:rsidRDefault="007F781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Nagrywanie płyt CD/DVD na duplikatorach.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Nagrywanie płyt CD/DVD na lokalnym komputerze.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urządzeń peryferyjnych (skaner, drukarka, czytnik kart) w systemach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dostosowywania wyglądu i złożoności formularza rejestracji w zależności od pracowni wykonującej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automatycznymi regułami obiegu informacji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w module rejestracji (np. opisane badania USG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oznaczaj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wydane).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priorytetu opisu niezależnie od priorytetu wykonania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Możliwość tworzenia zleceń w oparciu o: 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pochodzące z zleceń HL7,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nagłówków DICOM pochodzące z badań przesłanych do systemu PACS,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e-skierowania uzyskane z systemu P1,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ręcznie wprowadzone przez użytkownika końcowego.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tworzenia zleceń zgodnie z wymogami obowiązujących przepisów dotyczących m.in. dokumentacji medycznej oraz w zakresie umożliwiającym rozliczenie zlecenia: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podmiotu kierującego,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pacjenta,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oznaczenie podmiotu i rodzaju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przedsiębiorstwa w którym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wykonywane jest badanie,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rozpoznanie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ICD10,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zakres anatomiczny procedury badania,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powiązane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informacje oraz dane dodatkowe niezbędne do przeprowadzenia badania, w tym minimum: dokumentację medyczną, skany dokumentacji, wyniki badań dodatkowych, medyczne dane obrazowe DICOM, inna dokumentacja obrazowa, pliki multimedialne,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wystawienia zlecenia,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priorytetu wykonania zlecenia,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płatnika (niezależnie od oznaczenia podmiotu kierującego na badanie),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jednej lub więcej umownych procedur rozliczeniowych związanych z procedurą badania,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osoby zlecającej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wprowadzenia oznaczenia podmiotu zlecającego badanie (wystawiającego zlecenie / skierowanie):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kody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resortowe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komórki organizacyjnej podmiotu, która zleca konsultację,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adres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korespondencyjny komórki organizacyjnej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kontaktowe podmiotu, w tym min. numer telefonu, e-mail.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Możliwość wprowadzenia oznaczenia pacjenta, którego dotyczy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zlecenie: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imię,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urodzenia,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płci,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adres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miejsca zamieszkania, w tym min. ulicę i dom, kod pocztowy, miasto, kraj,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obywatelstwo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identyfikacyjny pacjenta,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przypadku noworodka - numer identyfikacyjny matki,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przypadku osób, które nie mają nadanego państwowego numeru identyfikacyjnego, inny, unikalny systemowo numer identyfikacyjny,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numer dokumentu potwierdzającego tożsamość, w tym minimum możliwość wyboru spośród: dowód osobisty, paszport,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dodawania, usuwania i edycji jednego lub więcej powiązanych osób, w tym przedstawicieli ustawowych z uwzględnieniem minimum: imienia, nazwiska, numeru identyfikacyjnego oraz adresu zamieszkania każdej z osób powiązanych,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kontaktowe, w tym min.: telefon, adres e-mail,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zdefiniowania innego niż kontaktowy numeru telefonu do powiadomień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dokumentów uprawniających do świadczeń.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oznaczenia osoby kierującej na badanie diagnostyczne w zakresie: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 imię,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tytuł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zawodowy,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uzyskane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specjalizacje,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prawa wykonywania zawodu.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systemowa umożliwiająca w jednym polu wyszukiwanie kontekstowe z uwzględnieniem różnych wag i istotności poszczególnych danych zleceń konsultacji, w tym minimum: państwowego numeru identyfikacyjnego, nazwiska i imienia pacjenta, innego numeru identyfikacyjnego pacjenta, imienia i nazwiska lekarza opisującego, numeru zlecenia, modalności, procedury.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szybkiego wyboru procedur radiologicznych bazującego na komponencie anatomicznym dla badań RTG, TK i MR z graficznym odwzorowaniem i filtrowaniem okolic anatomicznych.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samodzielnego utworzenia relacji i ograniczania wyświetlania procedur radiologicznych w trakcie rejestracji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  przypisanych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komórek organizacyjnych i płatników (umów) (relacja płatnik - procedura i/lub rodzaj płatnika - procedura).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wyboru procedury radiologicznej z możliwością wyszukiwania procedur 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oparciu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o modalność, fragment nazwy procedury.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systemie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(11.0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wyższy) i Windows 10 zapewniona możliwość skanowania i dołączania plików: skierowań, skanów dokumentacji papierowej, dokumentacji elektronicznej EDM oraz plików multimedialnych (min. mp3,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wav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mp4,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i zapisywanie ich w powiązaniu z badaniem z zapewnieniem możliwości ich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podglądu oraz przesyłania do lekarzy opisujących.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Podgląd zeskanowanych bądź dołączonych dokumentów min. JPEG, BMP, PNG, TIFF, PDF z możliwością ich obracania, przerzucania w pionie i/lub poziomie, powiększania, przesuwania i przewijania w przypadku wielostronicowych dokumentów.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załączania do badań filmów w formatach MP4, MOV, MPEG, AVI.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0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wgrywania danych obrazowych do archiwum PACS ze wskazanego katalogu lub nośnika lokalnego na komputerze użytkownika (dysk/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usb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z użyciem przeglądarki internetowej z możliwością powiązania ich z badaniem i pacjentem.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trakcie rejestracji walidacja poprawności numeru identyfikacyjnego pacjenta oraz zabezpieczenie przed ponownym wprowadzeniem pacjenta z już istniejącym w systemie numerem identyfikacyjnym.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Automatycznie uzupełnianie: płci i daty urodzenia pacjenta na podstawie numeru PESEL.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Identyfikacja i weryfikacja lekarzy zlecających na podstawie prawa wykonywania zawodu z wykorzystaniem wbudowanego słownika lekarzy zlecających.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dodawania i edycji słownika lekarzy zlecających, wyszukiwania lekarzy zlecających podczas wprowadzania wg. fragmentu nazwy, fragmentu numeru PWZL.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pełny słownik jednostek zlecających (podmiotów leczniczych) na podstawie aktualnej wersji RPWDL z możliwością edycji i dodawania nowych podmiotów i komórek organizacyjnych.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pełny słownik praktyk lekarskich na podstawie aktualnej wersji RPWDL z możliwością edycji i dodawania nowych.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Pojedyncze pole wyszukiwania kontekstowego jednostki zlecającej w formularzu rejestracji zleceń, w oparciu o wbudowany słownik z możliwością dodania nowych komórek i jednostek na podstawie rejestru RPWDL. Wyszukiwanie kontekstowe w słowniku jednostek i RPWDL w oparciu min o: REGON, fragment nazwy podmiotu leczniczego lub praktyki lekarskiej, NIP, adres.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Kontrola wprowadzania danych uniemożliwiająca dwukrotne wprowadzenie do systemu lekarzy zlecających z tym samym numerem prawa wykonywania zawodu.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wprowadzania informacji o personelu uczestniczącym w procedurze badania np.: koordynator, lekarz opisujący, technik, pielęgniarka itp.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pacjenta są przechowywane niezależnie od danych badania i mogą podlegać audytowi zmian.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Podczas przypisywania danych pacjenta do nowego badania brane są pod uwagę najbardziej aktualne dane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słownik kodów ICD10 z możliwością wyszukiwania kontekstowego wg fragmentu kodu lub fragmentu nazwy rozpoznania.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Wymuszenie na użytkowniku końcowym kontroli wprowadzania danych personelu powiązanego ze zleceniem w zależności od pełnionej funkcji oraz zdefiniowanych reguł zależnych od minimum: wybranej komórki organizacyjnej, priorytetu badania i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typu płatnika, wraz z możliwością samodzielnej aktywacji i dezaktywacji reguł walidacji.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Wymuszenie na użytkowniku końcowym kontroli załączania skanów dokumentów powiązanych ze zleceniem w zależności od rodzaju dokumentu oraz zdefiniowanych reguł zależnych od minimum: wybranej komórki organizacyjnej, typu płatnika, priorytetu badania, wraz z możliwością samodzielnej aktywacji i dezaktywacji reguł walidacji.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Zapewniona możliwość odbioru opisów badań w formie elektronicznej poświadczonej kwalifikowanym podpisem elektronicznym.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Zapewniona możliwość podglądu statusu opisu, daty przekazania zlecenia do opisu, osoby przekazującej badanie do opisu, załączonych badań porównawczych i zleconego priorytetu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umożliwiająca wyświetlenie/odtworzenie załączonych do zlecenia konsultacji danych (tj. obrazy badań DICOM, PNG, PDF, JPEG, filmy pochodzące np. z laparoskopów/endoskopów w formatach MOV, MPG, MP4).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umożliwiająca pobranie na dysk lokalny załączonych do zlecenia konsultacji danych (tj. pliki multimedialne, dane obrazowe, skany dokumentacji medycznej) dostępnych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obsługi badań odrzuconych z opisu z powodu braków w dokumentacji lub innych powodów formalnych wraz z możliwością ponownego skierowania zlecenia do opisu po uzupełnieniu braków.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zgłoszenia niezgodności związanych z otrzymanym opisem i skierowaniem zlecenia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lub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lekarza opisującego.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Dokumentowanie wszystkich zapisów i zmian w systemie dotyczących danych pacjenta, zlecenia i otrzymanych opisów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podstawowa umożliwiająca szybkie wyszukiwanie zleceń wg. fragmentu numeru badania, nazwiska pacjenta i/lub ID pacjenta (PESEL).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wywołania wyszukiwarki podstawowej skrótem klawiszowym.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wyszukiwania zleceń pacjenta z użyciem wyszukiwarki podstawowej, zaawansowanej oraz niezależnie na listach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czytników kodów kreskowych z szybkim wyszukaniem i otwarciem formularza badania po zeskanowaniu kodu kreskowego. Dotychczas otwarte do edycji badanie zostaje zastąpione przez wywołane z użyciem kodu kreskowego zlecenie z możliwością powrotu do edytowanego wcześniej badania i bez utraty wcześniej wprowadzonych danych.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zaawansowanego wyszukiwania badań z użyciem kombinacji kryteriów, w tym przynajmniej: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PESEL, Nazwisko, Imię, Płeć, Data urodzenia pacjenta, Numer telefonu pacjenta podany podczas rejestracji,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Przedział wieku pacjenta w momencie badania (w latach, miesiącach),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badania, Modalność, Nazwa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Pracownia wykonująca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Urządzenie, na którym wykonano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badania, Priorytet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utworzenia badania w systemie, Data pierwszej rejestracji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Zaplanowana data badania 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Rozpoznanie główne wg. ICD10,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płatnika (np. NFZ, Hospitalizacja), Płatnik (np. Mazowiecki OW NFZ, PZU),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Podmiot kierujący, Komórka organizacyjna podmiotu kierującego,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kliniczne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Personel powiązany z badaniem, min.: Lekarz opisujący, Lekarz konsultujący, Lekarz nadzorujący badanie, Technik,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Fraza występująca w opisie badania,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Fraza występująca w uwagach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zapisywania przez użytkownika minimum 10 indywidualnych schematów wyszukiwania w oparciu o kryteria wyszukiwarki zaawansowanej. Po kolejnym zalogowaniu na innym stanowisku schematy wyszukiwania zdefiniowane przez użytkownika muszą być dostępne.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Wyszukiwanie w obu typach wyszukiwania (podstawowym i zaawansowanym) zależne od polskich liter.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drukowania kodów kreskowych z numerem badania przez technika i rejestratorkę.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filtracji listy zleceń wg predefiniowanych przedziałów czasowych (bieżący miesiąc, poprzedni miesiąc, bieżący dzień, poprzedni dzień).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przeszukiwania, filtrowania i sortowania listy zleceń według kryteriów minimum: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badania,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pacjenta,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identyfikacyjnego pacjenta,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statusu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badania,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priorytetu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procedury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jednostki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wykonującej,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podmiotu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kierującego.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Predefiniowane listy robocze (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worklisty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) badań w zależności od roli użytkownika i statusu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w tym listy: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wysłanych do opisu,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wyników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wydania,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wyników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wydanych,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 u których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wykonano badanie,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zakończonych,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trakcie opisu,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odrzuconych z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sortowania i filtrowania zleceń na listach roboczych oraz w wynikach wyszukiwania.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systemowa umożliwiająca wyszukiwanie kontekstowe w jednym polu z uwzględnieniem różnych wag i istotności poszczególnych danych.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Wbudowane powiadomienia personelu wykonującego badanie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informujące o utworzeniu nowych notatek dotyczących wykonanych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tworzenia notatek na potrzeby komunikacji z innymi użytkownikami.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powiązanych danych obrazowych DICOM w przeglądarce www z poziomu listy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słownik kodów pocztowych i miejscowości oraz kodów terytorialnych oparty o katalogi TERYT (TERC, SIMC, ULIC) i Spis PNA, wraz z możliwością aktualizacji.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uzupełnianie kodu terytorialnego i miejscowości w polu adresu w oparciu o kod pocztowy podczas rejestracji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opisowy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wyszukiwania opisów badań z użyciem wyszukiwarki podstawowej, zaawansowanej oraz niezależnie na listach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czytników kodów kreskowych z szybkim wyszukaniem i otwarciem opisu badania po zeskanowaniu kodu kreskowego. Dotychczas otwarty do edycji opis zostaje zastąpiony przez wywołane z użyciem kodu kreskowego zlecenie z możliwością powrotu do edytowanego wcześniej opisu i bez utraty wcześniej wprowadzonych danych.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zaawansowanego wyszukiwania opisów badań z użyciem kombinacji kryteriów, w tym przynajmniej: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PESEL, Nazwisko, Imię, Płeć, Data urodzenia pacjenta,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Przedział wieku pacjenta w momencie badania (w latach, miesiącach),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badania, Modalność, Nazwa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Pracownia wykonująca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opisu, Priorytet opisu,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utworzenia zlecenia opisu w systemie,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Rozpoznanie główne wg. ICD10,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płatnika (np. NFZ, Hospitalizacja, Umowa), Płatnik (np. Mazowiecki OW NFZ, PZU),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Podmiot kierujący, Komórka organizacyjna podmiotu kierującego,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kliniczne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zatwierdzenia opisu przez lekarza,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Personel powiązany z opisem i badaniem, min.: Lekarz opisujący, Lekarz konsultujący, Lekarz nadzorujący badanie, Lekarz przypisany do badania, Technik,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Fraza występująca w opisie badania, Fraza występująca w uwagach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zapisywania przez użytkownika min. 10 indywidualnych schematów wyszukiwania w oparciu o kryteria wyszukiwarki zaawansowanej. Po kolejnym zalogowaniu na innym stanowisku schematy wyszukiwania zdefiniowane przez użytkownika powinny być dostępne.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3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podstawowy edytor opisów badań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możliwością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zmiany czcionki,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tworzenia pogrubień, kursyw,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podkreśleń tekst,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zmiany wielkości tekstu,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tworzenie listy numerycznej i wypunktowanej,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cofanie i ponawianie operacji,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tworzenie tabeli wraz z dodawaniem i usuwaniem wierszy i kolumn.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Umieszczanie obrazów kluczowych w opisie badania z dostępnych obrazów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przeciągania zaznaczonego fragmentu tekstu w inne miejsce opisu w oknie edytora.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Wsparcie dla sprawdzania pisowni w języku polskim w przeglądarce.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zdefiniowania różnych szablonów opisów w zależności od rodzaju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automatycznego umieszczania w szablonach opisów fraz w oparciu o dane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oraz dane wprowadzone w systemie, w tym minimum powiązane z badaniem dane dotyczące: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sumarycznych dawek dla wszystkich powiązanych z badaniem ekspozycji (min. DLP, CTDI, SSDE dla TK oraz DAP,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RTG),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użytych kontrastów i leków (ilość, rodzaj, droga podania),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działań niepożądanych po dożylnym podaniu kontrastu (opis, data wystąpienia),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poziom kreatyniny i GFR,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waga i wzrost pacjenta, BMI dla pacjentów &gt;18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rż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nazwy poszczególnych serii (Series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Description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dostarczonych przez pacjenta i dostępnych w systemie poprzednich badań obrazowych pacjenta (modalności, daty wykonania, nazwy),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sumarycznej liczby serii i obrazów w badaniu,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klinicznych podanych na zleceniu/e-skierowaniu,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rozpoznań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ICD10 wraz z opisem tekstowym kodów podanych na zleceniu/e-skierowaniu,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celu badania określonego na zleceniu/e-skierowaniu.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– 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pkt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każdy dodatkowy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– 0,5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pkt  (maks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 2,5 pkt)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Wzorce zdań i opisów, konfigurowalne przez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opisu z użyciem raportów strukturyzowanych zapewniających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jednokrotnego wyboru,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wielokrotnego wyboru,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pole tekstowe,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numeryczne,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graficzne komponenty z możliwością oznaczania kilku obszarów zainteresowania z oznaczeniem kolejnych obszarów różnymi kolorami i numerami (np. obrysy patologii na schemacie prostaty),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widoczność elementów opisu uzależniona od wartości innych powiązanych pól,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reguł walidacji pola,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prawdopodobieństwa złośliwości guzków płuc wg. Brocka,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objętości prostaty i zmian stwierdzanych w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prostacie na podstawie podania podstawowych pomiarów 2D wg. metodologii PI-RADS v.2.1,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kategorii zmiany wg. skali PI-RADS 2.1 w oparciu o ocenę cząstkową zmian w poszczególnych sekwencjach,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określanie lokalizacji zmiany w prostacie na podstawie obrysu zmiany przez użytkownika na schemacie prostaty wg. PI-RADS v. 2.1, z umieszczeniem w opisie min. stref w których zlokalizowana jest zmiana oraz sektorów zgodnych z skalą PI-RADS 2.1.</w:t>
            </w: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 / 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użycia raportów strukturyzowanych do opisu TK klatki piersiowej z wbudowanym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kalkulatorem prawdopodobieństwa złośliwości guzków płuc wg. Brocka,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kryteriami oceny guzków wg.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-RADS,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kryteriami oceny guzków wg. BTS,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możliwością określenia rodzajów guzków płuc z podziałem na lite, częściowo-lite i nielite,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wprowadzenia VDT dla każdego z guzków osobno.</w:t>
            </w:r>
          </w:p>
          <w:p w:rsidR="007F7819" w:rsidRDefault="007F7819">
            <w:pPr>
              <w:pStyle w:val="Akapitzlist"/>
              <w:widowControl w:val="0"/>
              <w:spacing w:after="27"/>
              <w:ind w:left="72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Nie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użycia raportów strukturyzowanych do opisu MR prostaty, posiadających min.: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objętości prostaty i zmian stwierdzanych w prostacie na podstawie podania podstawowych pomiarów 2D wg. metodologii PI-RADS v.2.1,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gęstości PSA w oparciu o wprowadzoną wartość PSA i objętość prostaty,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kategorii zmiany wg. skali PI-RADS 2.1 w oparciu o ocenę cząstkową zmian w poszczególnych sekwencjach z uwzględnieniem lokalizacji zmian,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określenia klasyfikacji TNM w opisie strukturyzowanym,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określanie lokalizacji zmiany w prostacie na podstawie obrysu zmiany przez użytkownika na schemacie prostaty wg. PI-RADS v. 2.1, z umieszczeniem w opisie min. stref w których zlokalizowana jest zmiana oraz sektorów zgodnych z skalą PI-RADS 2.1,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dołączanie schematu prostaty wraz z utworzonymi obrysami zmian wg. PI-RADS v 2.1.</w:t>
            </w: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/ 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ręcznego przypisywania badań do poszczególnych lekarzy opisujących przez uprawnionego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automatycznego przypisywania badań do lekarzy opisujących na podstawie zdefiniowanych reguł.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wyliczania i prezentacji czasu pozostałego na opis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badania (SLA) w zależności od rodzaju i priorytetu badania (np. czas na opis pilnych badań TK).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procesu opisywania badań przez rezydentów z możliwością konsultacji opisów przez osoby uprawnione oraz brakiem możliwości zatwierdzenia opisu przez rezydenta.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procesu konsultacji opisu przez dwóch specjalistów.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procesu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opisu przez uprawnionych użytkowników z możliwością skierowania badania do ponownego opisu, skierowania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lekarza opisującego, wymuszenia konsultacji przez innego specjalistę jak i akceptacji opisu w wyniku braku niezgodności.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Zgodność tworzenia opisów z HL7 CDA PIK i EDM (opisy badań diagnostycznych muszą być tworzone w wersji elektronicznej w HL7 CDA i podpisywane elektronicznie).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kwalifikowanego podpisu cyfrowego min.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Certum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KIR,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SimplySign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systemach Windows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podpisu cyfrowego ZUS z możliwością podpisywania PDF i EDM w systemach Windows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zbiorczego podpisywania elektronicznego opisów badań zarówno podpisem kwalifikowanym jak i podpisem ZUS.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Blokada edycji opisu badania przez nieuprawniony personel.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ograniczenia użytkownikom widoczności badań do opisu tylko do listy badań spełniających określone kryteria, w tym min.: jednostka zlecająca badanie, pracownia wykonująca badanie, modalność, procedura radiologiczna, priorytet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przypisywania zdefiniowanych grup widoczności poszczególnym użytkownikom modułu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ograniczenia widoczności badań do opisu lub do konsultacji w zależności od wcześniej predefiniowanych reguł przypisywania i roli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definiowania automatycznych, ograniczonych w czasie reguł przypisywania badań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manualnego zarządzania przypisaniem badań do opisu lekarzowi (nadrzędnego nad regułami automatycznymi).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równoczesnej edycji kilku opisów badań w ramach jednego okna przeglądarki bez konieczności ich zamykania i zapisu podczas przełączania się między badaniami.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zeskanowanych dokumentów przypisanych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przeglądania, dodawania i edycji zamieszczonych notatek wewnętrznych przypisanych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powiadamiania lekarzy o nowych notatkach utworzonych do badań przez nich opisywanych bądź konsultowanych.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danych dotyczących personelu zaangażowanego w wykonanie procedury z poziomu okna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danych kontaktowych pacjenta, jednostki i lekarza kierującego oraz jednostki wykonującej przypisanych do badania z poziomu okna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zatwierdzenia wyniku badania bez podpisu elektronicznego przez uprawnionego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podpisu cyfrowego wyniku badania prezentowany na liście badań z możliwością odfiltrowania min. badań niepodpisanych cyfrowo i/lub badań podpisanych.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Możliwy zapis w systemie dźwiękowych opisów badań z użyciem narzędzi wspomagania dyktowania wraz z obsługą urządzeń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Speechmike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(Philips) w systemie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wydruku badań zatwierdzonych.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umieszczania na wydruku specjalizacji lekarza opisującego i lekarza konsultującego.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umieszczania na wydruku informacji o personelu biorącym udział w procedurze, w tym min.: lekarza nadzorującego, technika, pielęgniarki w zależności od pracowni wykonującej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umieszczenia na wydruku faksymile lekarza opisującego i/lub konsultującego.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prezentowania na wydruku wyniku danych rejestrowych pracowni wykonującej badanie, w tym min. nazwy, adresu, kodów resortowych I, V, VII, danych kontaktowych email i telefonu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na wydruku logo podmiotu wykonującego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odwzorowania formatowania tekstu zgodnego z użytym w edytorze tekstu w wydruku wyniku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Wydruk opisu zgodny z aktualnymi wymogami Ministerstwa Zdrowia w sprawie rodzajów i zakresu dokumentacji medycznej oraz sposobu jej przetwarzania.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Każda strona wydruku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oznaczona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imieniem i nazwiskiem pacjenta, numerem PESEL pacjenta i datą sporządzenia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Umieszczenie na wydruku badania informacji o autoryzacji opisu podpisem elektronicznym.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Automatyczna numeracja stron wydruku wyniku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Raporty ilościowe prezentujące dane dotyczące rodzaju i liczby wykonanych procedur i badań w tym min. księga badań, raport wg. jednostek kierujących, lekarzy kierujących, lekarzy opisujących, pracowni wykonujących.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Raporty ilościowe pozwalające na okresowe raportowanie liczby i rodzaju zleconych i wykonanych opisów w tym z możliwością określenia lekarzy opisujących i/lub konsultujących, według daty opisu, daty badania, pracowni wykonującej badanie, jednostek kierujących.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raportów do plików Excel lub CSV.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Moduł transkrypcji 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umożliwia zapis w systemie dźwiękowych opisów badań z użyciem narzędzia typu Philips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SpeechMike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innych, równoważnych narzędzi wspomagania dyktowania w systemie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umożliwia pobranie oryginalnego nagrania dźwiękowego opisu przechowywanego przy badaniu.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 utworzeniu pliku nagrania z opisem przez lekarza, system automatycznie ustawia status badania, który sygnalizuje konieczność przepisania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umożliwia określenie priorytetu zlecenia przepisania w momencie zlecania przepisania nagrania przez lekarza z możliwością określenia minimum 3 różnych priorytetów (np.: pilne, planowe, pilne szpitalne).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przewijania utworzonego opisu głosowego podczas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nagrywania i odsłuchu.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zwiększenia i zmniejszenia prędkości odsłuchu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Pasek podglądu długości i odsłuchu nagrania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Regulacja głośności odsłuchu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samodzielnego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upload’u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pliku z nagraniem w formatach minimum WAV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,MP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3,MP4 do systemu i powiązania go z badaniem.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Wyświetlanie długości nagrania w minutach i sekundach.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Wyświetlanie czasu przewidzianego na transkrypcję na liście zleceń do przepisania (SLA).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Konfiguracja reguł ustawiania czasu przewidzianego na transkrypcję (SLA)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uwzględnieniem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 priorytetu transkrypcji, pracowni zlecającej transkrypcję.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Podgląd nazwy pliku i daty utworzenia pliku z nagraniem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systemie widoczne listy robocze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badań przeznaczone dla sekretarek medycznych zajmujących się transkrypcją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obejmujące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listy zleceń: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oczekujących na transkrypcję,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pobranych przez sekretarkę do transkrypcji,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oczekujących na konsultację i w konsultacji,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przepisanych i możliwych do wysłania do lekarza,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odrzuconych z realizacji,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zakończonych.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Lokalna kopia opisu głosowego musi być automatycznie usuwana po wysłaniu do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integracji z przyciskami urządzenia rejestrującego dźwięk, co najmniej: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start/stop nagrywania,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odtwarzanie,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przewijanie.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obsługuje zestawy odsłuchowe ze sterowaniem badania umożliwiający jego odczyt w dowolnym czasie.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Połączenie dźwiękowego opisu badania z rekordem badania umożliwiający jego odczyt w dowolnym czasie.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Przeglądarka referencyjna WEB</w:t>
            </w: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niediagnostyczna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(referencyjna) przeglądarka DICOM, webowa HTML, dostępna przez przeglądarkę internetową minimum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Firefox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Chrome w systemach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podgląd obrazów DICOM z użyciem wyłącznie przeglądarki internetowej bez potrzeby instalacji dodatkowych komponentów na stacjach klienckich, takich jak kontrolki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NPAPI czy pakiety Java Web Start.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zapewnia możliwość wyświetlania minimum modalności: CT, MR, CR/DX, US, PT, XA, IO, NM, plików PDF w tym opisów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wyświetlanie miniatur serii badania oraz poprzednich badań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5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zdefiniowane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 w skali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badań TK w tym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płucne,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okno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miękkotkankowe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kostne,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naczyniowe,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celowane na mózgowie.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powiększanie, przesuwania i obracania obrazu.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przerzucania obrazu w pionie i poziomie.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funkcję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odtwarzanie ciągłe klatka po klatce.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odtwarzania filmów.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Narządzie lupy - powiększenie fragmentu obrazu z możliwością regulacji stopnia powiększenia.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Linie referencyjne – prezentacja płaszczyzny serii badania na wyświetlonej obok serii w innej orientacji płaszczyzny.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powiększenia obrazu do wielkości okna.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Kursor 3D pozwalający na synchronizację przekroju płaszczyzny przeglądanego badania pomiędzy seriami wykonanymi w różnych płaszczyznach.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8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udostępnia możliwość tworzenia adnotacji i funkcje pomiarowe: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odległości,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powierzchni w obrębie ROI (min. kwadrat, elipsa),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 między dwoma prostymi,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oznaczenia zmiany strzałką,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adnotacji tekstowych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Wyświetlania informacji identyfikujących pacjenta i badanie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gęstości optycznej (CR) oraz jednostek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(CT) – pomiar w ROI i w punkcie (pomiar średni oraz odchylenie standardowe).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adnotacji tekstowej wraz ze strzałką na obrazie.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Prezentacja serii w badaniu w postaci podglądu miniaturek serii wraz z informacją o liczbie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5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inwersji skali kolorów.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układu okien minimum w układzie 1x1, 2x1, 1x2, 2x2.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Diagnostyczna przeglądarka DICOM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Zintegrowana diagnostyczna przeglądarka DICOM, webowa HTML5,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certyfikowana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wyrób medyczny klasy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IIb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MDR zgodnie z rozporządzeniem Parlamentu Europejskiego i Rady (UE) 2017/745 z dnia 5 kwietnia 2017 r. 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jednoczesnej pracy przynajmniej 3 użytkowników przeglądarki DICOM w trybie diagnostycznym (lekarzy opisujących badania).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rozbudowy przeglądarki o dodatkowe licencje diagnostyczne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niediagnostyczne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uruchamiana z poziomu systemu PACS "jednym kliknięciem" w kontekście badania bez potrzeby dodatkowej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autoryzacji i wyszukiwania badań w archiwum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podgląd obrazów DICOM z użyciem wyłącznie przeglądarki internetowej bez potrzeby instalacji dodatkowych komponentów na stacjach klienckich, takich jak kontrolki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NPAPI czy pakiety Java Web Start.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możliwość wyświetlania minimum modalności: CT, MR, CR/DX, US, ES, XC, PT, ST, NM, endoskopii (DICOM video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files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obsługuje wyświetlanie na wielu monitorach i umożliwia zdefiniowanie liczby i układu monitorów oraz ich wzajemnego położenia. Zamawiający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dopuszcza aby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funkcjonalność ta wymagała instalacji natywnego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przeglądarki internetowej (tj. z wyłączeniem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opartych o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NPAPI czy pakiety Java Web Start).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zdefiniowanie własnych protokołów wyświetlania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hanging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protocols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na podstawie konfiguracji wyświetlania aktualnie otwartego badania. Przeglądarka DICOM pozwala na zapisanie dowolnej liczby protokołów wyświetlania i skojarzenie ich z wybranym typem badania oraz automatyczne przywołanie odpowiedniego protokołu wyświetlania podczas otwierania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wyświetlanie osi czasu pacjenta zawierającej wszystkie jego badania, w celu wygodnego dostępu do badań porównawczych wprost z poziomu przeglądarki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zdefiniowane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 w skali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badań TK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płucne,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- okno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miękkotkankowe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 kostne,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 celowane na mózgowie.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Przeglądarka DICOM umożliwia ustawienie własnych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okna, zdefiniowanie modalności, dla których mają być dostępne oraz pozwala na przypisanie skrótu klawiszowego do szybkiego przełączania pomiędzy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wbudowane filtry obrazu: wygładzanie, wyostrzanie, wyszukiwanie krawędzi.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umożliwia rendering w trybie 2D oraz 3D w trybach MIP,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rekonstrukcje wielopłaszczyznowe MPR pod dowolnym kątem oraz CPR. Przeglądarka oferuje przyciski szybkiego dostępu pozwalające na wybór trybu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renderowania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MIP, MPR,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Axial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Sagittal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Transverse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przy użyciu jednego kliknięcia.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rendering wolumetryczny 3D.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grubości warstwy.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stworzenie nowej serii na podstawie aktualnej konfiguracji widoku (grubość warstwy, płaszczyzna rekonstrukcji).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posiada kursor 3D – narzędzie pozwalające na wyświetlanie i synchronizację położenia punktu na wszystkich wyświetlanych płaszczyznach.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powiększanie, przesuwanie i obracanie obrazu.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funkcję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odtwarzanie ciągłe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klatka po klatce.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odtwarzania filmów.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Informacja o orientacji obrazu wyświetlana na ekranie.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podział serii wielofazowych (dynamiczne badania CT).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Linie referencyjne – prezentacja przekroju płaszczyzny serii badania na wyświetlonej obok serii w innej płaszczyźnie przekroju.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powiększenia obrazu do wielkości okna.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(optymalne nałożenie) dwóch serii badania w tej samej płaszczyźnie.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Przeglądanie synchroniczne dwóch serii badania w tej samej płaszczyźnie.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udostępnia możliwość tworzenia adnotacji i funkcje pomiarowe: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odległości,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powierzchni w obrębie ROI (kwadrat, elipsa, dowolny kształt),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oznaczenia zmiany strzałką,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adnotacji tekstowych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umożliwia utrwalenie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burn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-in) adnotacji wprost w obrazie i wygenerowanie nowego obrazu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secondary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capture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Oznaczanie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obrazu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kluczowego.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gęstości optycznej (CR) oraz jednostek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(CT) – pomiar w ROI i w punkcie.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Oznaczenie faktu przejrzenia wszystkich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zmian do PACS (utworzone serie, ROI, utrwalone adnotacje).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badania do katalogu lokalnego wraz z utworzeniem DICOMDIR.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Prezentacja serii w badaniu w postaci podglądu miniaturek serii wraz z informacją o liczbie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inwersji skali kolorów.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układu okien.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4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równoczesną zmianę układu okien na dwóch lub więcej monitorach.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3" w:name="_Hlk144107174"/>
            <w:bookmarkEnd w:id="3"/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zapisywania stanów wyświetlania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hanging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protocols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dla użytkownika jak i dla danej stacji z uwzględnieniem ustawienia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liczby monitorów,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podziału okien na monitorach,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rodzaju serii wyświetlanej w każdym z okien w oparciu o nazwę albo inny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ustawień okna / skali szarości wyświetlania każdej z serii osobno,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automatycznego wyświetlania lub braku linii referencyjnych,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automatycznej synchronizacji prezentowanych serii pod względem nawigacji, ustawień okna i powiększania obrazu,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kryteriów stosowania protokołu wyświetlania, w tym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możliwością zdefiniowania warunków w oparciu 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(min. 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Description, Modality, Body part,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ProtocolName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PerformingPhysicianName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System musi posiadać funkcjonalność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danych, obejmującą zarówno dane zlecenia, jak i dane obrazowe DICOM.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musi gwarantować, że w powstałych w wyniku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nowych danych pacjentów zachowane zostaną klinicznie istotne informacje: płeć oraz wiek pacjenta w momencie wykonania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monitorowania dawki promieniowania na pacjenta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historii pacjenta w Karcie Badań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color w:val="000000"/>
                <w:sz w:val="22"/>
                <w:szCs w:val="22"/>
              </w:rPr>
              <w:t>Ocena dawki łącznej otrzymanej przez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Ocena przewidywanej dawki dla zleconego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Protokół oparty na poziomach dawek referencyjnych.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Wybór standardowego protokołu podawania środka kontrastowego.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Dopasowanie protokołu podawania środka kontrastowego do potrzeb danego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i analiza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Oszacowanie dawki otrzymanej przez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Ustalenie odstępstw od protokołu badania i uruchomienie powiadomień.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Sporządzenie raportu i przekazanie wyników.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Automatyczna dokumentacja podania środka kontrastującego i otrzymanej dawki promieniowania.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Automatyczna rejestracja raportów dawki w RIS i PACS (pod warunkiem otrzymania z aparatu diagnostycznego informacji o dawce w formacie DICOM RDSR).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Funkcjonalności dla pacjenta.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Przypomnienia o wizycie SMS. Możliwość zlecenia wysyłki na żądanie użytkownika i automatycznie. Przypomnienie musi zawierać SMS z linkiem do zarządzania wizytą.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E-rejestracja – możliwość rejestracji wizyt przez pacjentów. Wymagana weryfikacja numeru telefonu i powiadomienie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Odbiór wyników (opisów) on-line (informacja SMS o wyniku z możliwością odbioru opisu w PDF)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 do obrazów on-line („wirtualna płyta CD” - podgląd i możliwość pobrania obrazów).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Możliwość sparametryzowania grup odbiorców powiadomień SMS w oparciu o konkretną jednostkę kierującą, typ jednostki kierującej (zewnętrzna/wewnętrzna), kod resortowy jednostki kierującej, płeć i wiek pacjenta, jednostkę chorobową, rodzaj zlecenia (pilne, CITO itp.).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Zamawiający wymaga zapewnienia 36 tysięcy wiadomości SMS w ramach przedmiotu zamówienia do wykorzystania w okresie 36 miesięcy w równym podziale po 12 tysięcy SMS na rok.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Dostępny raport lub informacja w panelu zarządzania systemem odnośnie aktualnego stopnia wykorzystania dostępnej puli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Gwarancja Producenta PACS lub Autoryzowanego Partnera Serwisowego Producenta.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Zapewniony kanał mailowy i telefoniczny zgłaszania awarii i usterek oraz dedykowany portal z katalogiem różnych rodzajów zgłoszeń, umożliwiający szybsze procesowanie i nadawanie priorytetu zgłoszeniu serwisowemu.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przypisania priorytetu zgłoszenia maksymalnie 20 minut.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naprawy usterki - tryb planowy – maksymalnie 3 dni roboczych.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naprawy usterki - tryb krytyczny – maksymalnie 12 godzin.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Gwarancja i wsparcie systemu w całym okresie gwarancyjnym - minimum 8/5/365 – dni robocze od poniedziałku do piątku w godzinach 07:00 – 15:00.</w:t>
            </w:r>
          </w:p>
          <w:p w:rsidR="007F7819" w:rsidRDefault="007F781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tryb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8/5/365 – 0 pkt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tryb 24/7/365 – 2,5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Dedykowany, priorytetowy kanał zgłoszeń telefonicznych przeznaczony do obsługi zgłoszeń w sytuacji bezpośredniego zagrożenia życia lub zdrowia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Moduł zgłaszania usterek wbudowany w system.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podglądu bieżących i rozwiązanych zgłoszeń serwisowych.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spacing w:before="240"/>
        <w:rPr>
          <w:rFonts w:ascii="Calibri" w:hAnsi="Calibri" w:cs="Calibri"/>
          <w:b/>
          <w:sz w:val="22"/>
          <w:szCs w:val="22"/>
        </w:rPr>
      </w:pPr>
    </w:p>
    <w:tbl>
      <w:tblPr>
        <w:tblW w:w="6101" w:type="pct"/>
        <w:tblInd w:w="-998" w:type="dxa"/>
        <w:tblLayout w:type="fixed"/>
        <w:tblLook w:val="0400" w:firstRow="0" w:lastRow="0" w:firstColumn="0" w:lastColumn="0" w:noHBand="0" w:noVBand="1"/>
      </w:tblPr>
      <w:tblGrid>
        <w:gridCol w:w="567"/>
        <w:gridCol w:w="6096"/>
        <w:gridCol w:w="1418"/>
        <w:gridCol w:w="2976"/>
      </w:tblGrid>
      <w:tr w:rsidR="007F7819" w:rsidTr="00FD6457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Integracje HL7</w:t>
            </w: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tabs>
                <w:tab w:val="left" w:pos="195"/>
              </w:tabs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Integracja z systemami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teleradiologicznymi</w:t>
            </w:r>
            <w:proofErr w:type="spellEnd"/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okresie gwarancyjnym </w:t>
            </w:r>
            <w:r w:rsidR="00C52870">
              <w:rPr>
                <w:rFonts w:ascii="Calibri" w:eastAsia="Calibri" w:hAnsi="Calibri" w:cs="Calibri"/>
                <w:sz w:val="22"/>
                <w:szCs w:val="22"/>
              </w:rPr>
              <w:t>Wykonawca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zapewnia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bezkosztową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integrację HL7/DICOM z systemami minimum </w:t>
            </w:r>
            <w:r w:rsidR="00C52870" w:rsidRPr="00C52870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dostawców usług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Polsce, którzy na dzień składania oferty świadczą usługi opisów badań TK lub MR nie krócej niż 6 mc, na rzecz min. 1 podmiotów publicznych każdy.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Na etapie realizacji przedmiotu zamówienia należy przeprowadzić integrację z dostawcą usług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MKJ Radiologia Sp. z o.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 Sp.k. 80-297 Banino, ul Gwiezdna 16, z którym Zamawiający posiada podpisaną umowę.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 (podać nazwy podmiotów)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Zapewniony minimalny zakres integracji z systemem informatycznym Podmiotów Świadczących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) możliwość zlecania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przez personel Zamawiającego bezpośrednio z oferowanego systemu, w zakresie wymaganym obowiązującymi przepisami, w tym m.in. z określeniem min.: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priorytetu opisu (min. bardzo pilny, pilny, normalny),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zlecenia zgodnie z wymogami dokumentacji medycznej (w tym kodami resortowymi komórki wykonującej badanie),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informacji o użytym w badaniu kontraście (ilości, rodzaju, sposobie podania),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okolicach anatomicznych objętych badaniem,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personelu wykonującego badanie (min. dane technika),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identyfikacyjnych pacjenta (zgodnie z dokumentacją medyczną),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informacji o stanie zagrożenia życia,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liczbie serii i obrazów DICOM wykonanego badania,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liczbie serii i obrazów DICOM badań porównawczych,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skanów papierowej dokumentacji medycznej w formatach JPG/PNG/PDF,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- e-skierowania w formie HL7 CDA lub innej równoważnej.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>) transfer badań DICOM z systemu Zamawiającego powiązanych ze zleceniem, w tym badania będącego przedmiotem opisu oraz załączonych badań porównawczych (także dostarczonych z zewnątrz na nośniku),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) odbiór wyników (opisów badań)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systemu Podmiotu Świadczącego (opisu badania) w formatach min. PDF, HL7 CDA,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html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txt w tym dokumentów podpisanych podpisem kwalifikowanym lub podpisem ZUS.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ramach integracji, personel Zamawiającego może zlecić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do kilku różnych podmiotów zewnętrznych. Zapewniony w systemie podgląd min.: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podmiotu do którego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zlecono opis,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godziny zlecenia,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osoby która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zleciła usługę,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priorytetu zleconej usługi,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danych kontaktowych do podmiotu bądź osoby odpowiedzialnej za realizację usługi,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informacji o załączonych badaniach porównawczych.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Możliwość wycofania przez technika zlecenia realizacji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Podstawowe scenariusze biznesowe zakresu integracji HL7/DICOM: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Przyjmowanie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 zleceń wykonania opisu badania (elektroniczne skierowania HL7v2), oraz powiązanych ze zleceniem obrazów DICOM.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Aktualizacja danych bądź wycofanie badania z wykorzystaniem komunikacji HL7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 wykonaniu opisu badania, wysyłanie wyniku lub aktualizacji do wydanego wyniku do systemu zlecającego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Obsługiwane podstawowe typu komunikatów w integracji HL7/DICOM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NW – nowe zlecenie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XO – aktualizacja danych do istniejącego zlecenia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CA – wycofanie zlecenia z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ORU^R01 RE – dodanie/aktualizacja i zatwierdzenie wyniku badania (wysyła wykonujący).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Obsługiwane formaty i standardy zapisu zleceń i wyników badań w integracji HL7/DICOM:</w:t>
            </w:r>
          </w:p>
          <w:p w:rsidR="007F7819" w:rsidRDefault="00FD6457">
            <w:pPr>
              <w:widowControl w:val="0"/>
              <w:numPr>
                <w:ilvl w:val="2"/>
                <w:numId w:val="30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Zlecenie badania – dołączanie i obsługa załączników do zlecenia przekazywanych z wykorzystaniem komunikacji HL7:</w:t>
            </w:r>
          </w:p>
          <w:p w:rsidR="007F7819" w:rsidRDefault="00FD6457">
            <w:pPr>
              <w:widowControl w:val="0"/>
              <w:numPr>
                <w:ilvl w:val="3"/>
                <w:numId w:val="59"/>
              </w:numPr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Skanów papierowej dokumentacji medycznej w formatach JPG/PNG/PDF.</w:t>
            </w:r>
          </w:p>
          <w:p w:rsidR="007F7819" w:rsidRDefault="00FD6457">
            <w:pPr>
              <w:widowControl w:val="0"/>
              <w:numPr>
                <w:ilvl w:val="3"/>
                <w:numId w:val="59"/>
              </w:numPr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Elektronicznej dokumentacji medycznej w formacie HL7 CDA.</w:t>
            </w:r>
          </w:p>
          <w:p w:rsidR="007F7819" w:rsidRDefault="00FD6457">
            <w:pPr>
              <w:widowControl w:val="0"/>
              <w:numPr>
                <w:ilvl w:val="2"/>
                <w:numId w:val="30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Wynik badania – wynik w postaci autoryzowanego podpisem elektronicznym dokumentu w formacie PDF 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plain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text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(opcjonalnie HTML), oraz dokument w formacie zgodnym ze standardem PIK HL7 CDA (w przypadku braku otrzymania autoryzowanego wyniku utrzymanego w standardzie PIK HL7 CDA, nie będzie możliwości zaraportowania zdarzenia medycznego konsultacji badania do EDM P1).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Możliwość generowania raportów przez Zamawiającego z ilości zleconych badań do opisu, umożliwiających analizę czasu realizacji usług.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Integracja z systemem HIS</w:t>
            </w: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Zamawiający informuje, że posiada System Informatyczny firmy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Nexus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Polska Sp. z o.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. Integracja musi uwzględniać system HIS ESKULAP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działający jako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system nadrzędny odpowiadający za rejestrację pacjentów i świadczeń, planowanie wizyt w terminarzu, w tym raportowanie i rozliczenia z NFZ i raportowanie do P1. Wymogiem przedmiotu zamówienia jest integracja z systemem HIS za pośrednictwem protokołu HL7 w zakresie wskazanym w wierszach poniżej.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Przyjmowanie zleceń z HIS drogą elektroniczną wraz z importem danych zlecenia i pacjenta.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Przyjmowanie informacji o terminach zaplanowanych badań z systemu HIS wraz z ich aktualizacją. Prezentacja zaplanowanych wizyt w terminarzu systemu.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Obsługa odwołania (anulowania) badania zarejestrowanego.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Obsługa korygowania danych badania.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Obsługa procesu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badania.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7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automatycznego odsyłania do systemu HIS wyniku badania (opis) (wynik musi spełniać wymagania ustawowe, by po udostępnieniu w HIS mógł być wysłany na P1) oraz linku do dostarczonej przeglądarki referencyjnej DICOM i/lub obrazów w formacie JPG (możliwość otwarcia obrazów badań pacjenta z poziomu systemu HIS poprzez kliknięcie na link do obrazu) oraz linku umożliwiającego udostępnianie wyniku badania w postaci obrazów DICOM do systemów zewnętrznych.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7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Migracja obecnej bazy danych obrazów diagnostycznych wraz z linkami dla systemu szpitalnego HIS z użytkowanego przez Zamawiającego systemu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Alteris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RIS/PACS, której efekt końcowy zapewni użytkownikom systemu HIS i RIS dostęp do obrazów diagnostycznych z wykorzystaniem narzędzi będących przedmiotem zamówienia.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Podczas pracy dyżurowej integracja zapewni możliwość automatycznego przyjmowania do realizacji zleceń z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wsparcia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systemu  dla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funkcji aktualizacji obiegu informacji – zmiana danych pacjenta w HIS musi automatycznie generować zmianę danych pacjenta w module zarządzania badaniami.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możliwości automatycznego dopisywania do słowników systemu w oparciu o otrzymane komunikaty HL7 lekarzy kierujących na badania oraz jednostek zlecających badania wprowadzonych w danych skierowania w systemie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automatycznej aktualizacji danych pacjenta na podstawie danych przesłanych z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aktualizacji danych zlecenia przez system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synchronizacji słownika lekarzy zlecających. Słownik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będzie na bieżąco automatycznie aktualizowany/uzupełniany.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możliwości przekazywania przez system zarządzania badaniami diagnostycznymi do systemu HIS informacji z linkiem do obrazów dla badań już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wykonanych ale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jeszcze nie opisanych.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synchronizacji słownika badań diagnostycznych w systemach HIS i PACS.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Integracja w zakresie podawanej pacjentowi kontrastu do badania. Ewidencja podanej serii w systemie HIS, na wyniku z automatu widoczna ilość, nazwa podanego kontrastu.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Dostęp do historii pacjenta w systemie HIS wprost z poziomu oferowanego systemu, wraz z dostępem do dokumentów medycznych zgromadzonych w systemie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rPr>
          <w:rFonts w:ascii="Calibri" w:hAnsi="Calibri" w:cs="Calibri"/>
          <w:sz w:val="20"/>
          <w:szCs w:val="20"/>
        </w:rPr>
      </w:pPr>
    </w:p>
    <w:p w:rsidR="007F7819" w:rsidRDefault="007F7819">
      <w:pPr>
        <w:rPr>
          <w:rFonts w:ascii="Calibri" w:hAnsi="Calibri" w:cs="Calibri"/>
          <w:sz w:val="20"/>
          <w:szCs w:val="20"/>
        </w:rPr>
      </w:pPr>
    </w:p>
    <w:p w:rsidR="007F7819" w:rsidRDefault="007F7819"/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>Niespełnienie któregokolwiek z wymaganych powyżej parametrów techniczno-użytkowych oraz wymagań, co do ich wartości minimalnych spowoduje odrzucenie oferty bez dalszej jej oceny.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 xml:space="preserve"> będzie, jako brak danego parametru.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7F7819" w:rsidRDefault="007F7819">
      <w:pPr>
        <w:jc w:val="both"/>
        <w:rPr>
          <w:rFonts w:ascii="Calibri" w:hAnsi="Calibri" w:cs="Calibri"/>
          <w:b/>
          <w:sz w:val="22"/>
          <w:szCs w:val="22"/>
        </w:rPr>
      </w:pPr>
    </w:p>
    <w:p w:rsidR="007F7819" w:rsidRDefault="00FD645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7F7819" w:rsidRDefault="00FD645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FD6457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7F7819" w:rsidRDefault="00FD645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p w:rsidR="007F7819" w:rsidRDefault="007F7819">
      <w:pPr>
        <w:spacing w:line="360" w:lineRule="auto"/>
        <w:ind w:right="467"/>
        <w:jc w:val="both"/>
        <w:rPr>
          <w:rFonts w:eastAsia="Batang"/>
          <w:bCs/>
          <w:sz w:val="22"/>
          <w:szCs w:val="22"/>
        </w:rPr>
      </w:pPr>
    </w:p>
    <w:p w:rsidR="007F7819" w:rsidRDefault="007F7819">
      <w:pPr>
        <w:ind w:right="-35"/>
      </w:pPr>
    </w:p>
    <w:sectPr w:rsidR="007F7819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D739E"/>
    <w:multiLevelType w:val="multilevel"/>
    <w:tmpl w:val="7A08F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0F434EF"/>
    <w:multiLevelType w:val="multilevel"/>
    <w:tmpl w:val="FF8C34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661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2" w15:restartNumberingAfterBreak="0">
    <w:nsid w:val="00FB4407"/>
    <w:multiLevelType w:val="multilevel"/>
    <w:tmpl w:val="1DC0A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01DD2F1A"/>
    <w:multiLevelType w:val="multilevel"/>
    <w:tmpl w:val="6C464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2C43C1E"/>
    <w:multiLevelType w:val="multilevel"/>
    <w:tmpl w:val="FB64AD7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6E47E8D"/>
    <w:multiLevelType w:val="multilevel"/>
    <w:tmpl w:val="8502FE4E"/>
    <w:lvl w:ilvl="0">
      <w:start w:val="22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85725E9"/>
    <w:multiLevelType w:val="multilevel"/>
    <w:tmpl w:val="1672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0B811400"/>
    <w:multiLevelType w:val="multilevel"/>
    <w:tmpl w:val="CDB8B7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BFF5B3D"/>
    <w:multiLevelType w:val="multilevel"/>
    <w:tmpl w:val="E30AA850"/>
    <w:lvl w:ilvl="0">
      <w:start w:val="1"/>
      <w:numFmt w:val="bullet"/>
      <w:lvlText w:val=""/>
      <w:lvlJc w:val="left"/>
      <w:pPr>
        <w:tabs>
          <w:tab w:val="num" w:pos="0"/>
        </w:tabs>
        <w:ind w:left="45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9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1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5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7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1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E8E203B"/>
    <w:multiLevelType w:val="multilevel"/>
    <w:tmpl w:val="6DEA25C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EEB070D"/>
    <w:multiLevelType w:val="multilevel"/>
    <w:tmpl w:val="55A8A2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EFC1D31"/>
    <w:multiLevelType w:val="multilevel"/>
    <w:tmpl w:val="23AAA69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2B97717"/>
    <w:multiLevelType w:val="multilevel"/>
    <w:tmpl w:val="D90E722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3F606A6"/>
    <w:multiLevelType w:val="multilevel"/>
    <w:tmpl w:val="987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 w15:restartNumberingAfterBreak="0">
    <w:nsid w:val="15B57110"/>
    <w:multiLevelType w:val="multilevel"/>
    <w:tmpl w:val="6F8A960A"/>
    <w:lvl w:ilvl="0">
      <w:start w:val="233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1A503278"/>
    <w:multiLevelType w:val="multilevel"/>
    <w:tmpl w:val="DE4E007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4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 Light" w:hAnsi="Calibri Light" w:cs="Calibri Light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A88045C"/>
    <w:multiLevelType w:val="multilevel"/>
    <w:tmpl w:val="CACC76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E8F004E"/>
    <w:multiLevelType w:val="multilevel"/>
    <w:tmpl w:val="DE16AC60"/>
    <w:lvl w:ilvl="0">
      <w:start w:val="9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2572080"/>
    <w:multiLevelType w:val="multilevel"/>
    <w:tmpl w:val="ED14C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 w15:restartNumberingAfterBreak="0">
    <w:nsid w:val="23646D3A"/>
    <w:multiLevelType w:val="multilevel"/>
    <w:tmpl w:val="4A70141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4213BD0"/>
    <w:multiLevelType w:val="multilevel"/>
    <w:tmpl w:val="9FE0F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 w15:restartNumberingAfterBreak="0">
    <w:nsid w:val="27546D96"/>
    <w:multiLevelType w:val="multilevel"/>
    <w:tmpl w:val="D5CECB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8B01AAA"/>
    <w:multiLevelType w:val="multilevel"/>
    <w:tmpl w:val="34BC57AE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2B4818C1"/>
    <w:multiLevelType w:val="multilevel"/>
    <w:tmpl w:val="BC62ACF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2BD36AC9"/>
    <w:multiLevelType w:val="multilevel"/>
    <w:tmpl w:val="E3F012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2BD95CB3"/>
    <w:multiLevelType w:val="multilevel"/>
    <w:tmpl w:val="02DE6A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E4C653C"/>
    <w:multiLevelType w:val="multilevel"/>
    <w:tmpl w:val="151E8BAC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27" w15:restartNumberingAfterBreak="0">
    <w:nsid w:val="2FB97820"/>
    <w:multiLevelType w:val="multilevel"/>
    <w:tmpl w:val="86D04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 w15:restartNumberingAfterBreak="0">
    <w:nsid w:val="31926431"/>
    <w:multiLevelType w:val="multilevel"/>
    <w:tmpl w:val="E7FA1E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33226064"/>
    <w:multiLevelType w:val="multilevel"/>
    <w:tmpl w:val="4D4823F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347F2F98"/>
    <w:multiLevelType w:val="multilevel"/>
    <w:tmpl w:val="086A4C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3537462A"/>
    <w:multiLevelType w:val="multilevel"/>
    <w:tmpl w:val="F488A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2" w15:restartNumberingAfterBreak="0">
    <w:nsid w:val="369A7837"/>
    <w:multiLevelType w:val="multilevel"/>
    <w:tmpl w:val="6A3E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3" w15:restartNumberingAfterBreak="0">
    <w:nsid w:val="37E755EA"/>
    <w:multiLevelType w:val="multilevel"/>
    <w:tmpl w:val="6CE647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3E7A203D"/>
    <w:multiLevelType w:val="multilevel"/>
    <w:tmpl w:val="DEB096B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43E4339D"/>
    <w:multiLevelType w:val="multilevel"/>
    <w:tmpl w:val="B9929866"/>
    <w:lvl w:ilvl="0">
      <w:start w:val="1"/>
      <w:numFmt w:val="lowerLetter"/>
      <w:lvlText w:val="%1)"/>
      <w:lvlJc w:val="right"/>
      <w:pPr>
        <w:tabs>
          <w:tab w:val="num" w:pos="0"/>
        </w:tabs>
        <w:ind w:left="635" w:hanging="360"/>
      </w:pPr>
      <w:rPr>
        <w:rFonts w:asciiTheme="minorHAnsi" w:eastAsia="Calibri" w:hAnsiTheme="minorHAnsi" w:cstheme="minorHAnsi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355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075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79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95" w:hanging="180"/>
      </w:pPr>
    </w:lvl>
  </w:abstractNum>
  <w:abstractNum w:abstractNumId="36" w15:restartNumberingAfterBreak="0">
    <w:nsid w:val="46A43933"/>
    <w:multiLevelType w:val="multilevel"/>
    <w:tmpl w:val="4430391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46AA184D"/>
    <w:multiLevelType w:val="multilevel"/>
    <w:tmpl w:val="E514BA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47363381"/>
    <w:multiLevelType w:val="multilevel"/>
    <w:tmpl w:val="2A50BECA"/>
    <w:lvl w:ilvl="0">
      <w:start w:val="33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48D60744"/>
    <w:multiLevelType w:val="multilevel"/>
    <w:tmpl w:val="B4908DD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4B3C7676"/>
    <w:multiLevelType w:val="multilevel"/>
    <w:tmpl w:val="C100D4E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4F5B274D"/>
    <w:multiLevelType w:val="multilevel"/>
    <w:tmpl w:val="DD860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2" w15:restartNumberingAfterBreak="0">
    <w:nsid w:val="500B073A"/>
    <w:multiLevelType w:val="multilevel"/>
    <w:tmpl w:val="DF52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3" w15:restartNumberingAfterBreak="0">
    <w:nsid w:val="508C4525"/>
    <w:multiLevelType w:val="multilevel"/>
    <w:tmpl w:val="E2CA0E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51E93131"/>
    <w:multiLevelType w:val="multilevel"/>
    <w:tmpl w:val="D0888EB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3813FD2"/>
    <w:multiLevelType w:val="multilevel"/>
    <w:tmpl w:val="533695F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55501ABD"/>
    <w:multiLevelType w:val="multilevel"/>
    <w:tmpl w:val="0F3A864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56C92835"/>
    <w:multiLevelType w:val="multilevel"/>
    <w:tmpl w:val="69F8A7E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5A326BD0"/>
    <w:multiLevelType w:val="multilevel"/>
    <w:tmpl w:val="8FD2E59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5AC44BAE"/>
    <w:multiLevelType w:val="multilevel"/>
    <w:tmpl w:val="35B02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0" w15:restartNumberingAfterBreak="0">
    <w:nsid w:val="5F756301"/>
    <w:multiLevelType w:val="multilevel"/>
    <w:tmpl w:val="EEC834BE"/>
    <w:lvl w:ilvl="0">
      <w:start w:val="162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61ED7EA4"/>
    <w:multiLevelType w:val="multilevel"/>
    <w:tmpl w:val="6DEA46E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629946AF"/>
    <w:multiLevelType w:val="multilevel"/>
    <w:tmpl w:val="E39A4990"/>
    <w:lvl w:ilvl="0">
      <w:start w:val="86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65DC662D"/>
    <w:multiLevelType w:val="multilevel"/>
    <w:tmpl w:val="40D473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67766488"/>
    <w:multiLevelType w:val="multilevel"/>
    <w:tmpl w:val="1D1E83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693F5390"/>
    <w:multiLevelType w:val="multilevel"/>
    <w:tmpl w:val="18AE1192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56" w15:restartNumberingAfterBreak="0">
    <w:nsid w:val="69B76104"/>
    <w:multiLevelType w:val="multilevel"/>
    <w:tmpl w:val="1F545E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7" w15:restartNumberingAfterBreak="0">
    <w:nsid w:val="6B365038"/>
    <w:multiLevelType w:val="multilevel"/>
    <w:tmpl w:val="979CA436"/>
    <w:lvl w:ilvl="0">
      <w:start w:val="57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6BE914A8"/>
    <w:multiLevelType w:val="multilevel"/>
    <w:tmpl w:val="60D8A1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6D6D3D82"/>
    <w:multiLevelType w:val="multilevel"/>
    <w:tmpl w:val="C750FDB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6DBB7405"/>
    <w:multiLevelType w:val="multilevel"/>
    <w:tmpl w:val="6ADAB38A"/>
    <w:lvl w:ilvl="0">
      <w:start w:val="115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6CB2B01"/>
    <w:multiLevelType w:val="multilevel"/>
    <w:tmpl w:val="E7D2E0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2" w15:restartNumberingAfterBreak="0">
    <w:nsid w:val="78716A03"/>
    <w:multiLevelType w:val="multilevel"/>
    <w:tmpl w:val="7276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3" w15:restartNumberingAfterBreak="0">
    <w:nsid w:val="793113BC"/>
    <w:multiLevelType w:val="multilevel"/>
    <w:tmpl w:val="7D64F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4" w15:restartNumberingAfterBreak="0">
    <w:nsid w:val="79952E72"/>
    <w:multiLevelType w:val="multilevel"/>
    <w:tmpl w:val="1EF6049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5" w15:restartNumberingAfterBreak="0">
    <w:nsid w:val="7A055A01"/>
    <w:multiLevelType w:val="multilevel"/>
    <w:tmpl w:val="4EDCA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7A393F97"/>
    <w:multiLevelType w:val="multilevel"/>
    <w:tmpl w:val="897CC67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4"/>
  </w:num>
  <w:num w:numId="2">
    <w:abstractNumId w:val="10"/>
  </w:num>
  <w:num w:numId="3">
    <w:abstractNumId w:val="8"/>
  </w:num>
  <w:num w:numId="4">
    <w:abstractNumId w:val="33"/>
  </w:num>
  <w:num w:numId="5">
    <w:abstractNumId w:val="20"/>
  </w:num>
  <w:num w:numId="6">
    <w:abstractNumId w:val="42"/>
  </w:num>
  <w:num w:numId="7">
    <w:abstractNumId w:val="32"/>
  </w:num>
  <w:num w:numId="8">
    <w:abstractNumId w:val="63"/>
  </w:num>
  <w:num w:numId="9">
    <w:abstractNumId w:val="0"/>
  </w:num>
  <w:num w:numId="10">
    <w:abstractNumId w:val="41"/>
  </w:num>
  <w:num w:numId="11">
    <w:abstractNumId w:val="2"/>
  </w:num>
  <w:num w:numId="12">
    <w:abstractNumId w:val="62"/>
  </w:num>
  <w:num w:numId="13">
    <w:abstractNumId w:val="31"/>
  </w:num>
  <w:num w:numId="14">
    <w:abstractNumId w:val="49"/>
  </w:num>
  <w:num w:numId="15">
    <w:abstractNumId w:val="6"/>
  </w:num>
  <w:num w:numId="16">
    <w:abstractNumId w:val="27"/>
  </w:num>
  <w:num w:numId="17">
    <w:abstractNumId w:val="18"/>
  </w:num>
  <w:num w:numId="18">
    <w:abstractNumId w:val="13"/>
  </w:num>
  <w:num w:numId="19">
    <w:abstractNumId w:val="3"/>
  </w:num>
  <w:num w:numId="20">
    <w:abstractNumId w:val="60"/>
  </w:num>
  <w:num w:numId="21">
    <w:abstractNumId w:val="22"/>
  </w:num>
  <w:num w:numId="22">
    <w:abstractNumId w:val="5"/>
  </w:num>
  <w:num w:numId="23">
    <w:abstractNumId w:val="52"/>
  </w:num>
  <w:num w:numId="24">
    <w:abstractNumId w:val="38"/>
  </w:num>
  <w:num w:numId="25">
    <w:abstractNumId w:val="50"/>
  </w:num>
  <w:num w:numId="26">
    <w:abstractNumId w:val="57"/>
  </w:num>
  <w:num w:numId="27">
    <w:abstractNumId w:val="14"/>
  </w:num>
  <w:num w:numId="28">
    <w:abstractNumId w:val="45"/>
  </w:num>
  <w:num w:numId="29">
    <w:abstractNumId w:val="40"/>
  </w:num>
  <w:num w:numId="30">
    <w:abstractNumId w:val="36"/>
  </w:num>
  <w:num w:numId="31">
    <w:abstractNumId w:val="55"/>
  </w:num>
  <w:num w:numId="32">
    <w:abstractNumId w:val="26"/>
  </w:num>
  <w:num w:numId="33">
    <w:abstractNumId w:val="51"/>
  </w:num>
  <w:num w:numId="34">
    <w:abstractNumId w:val="44"/>
  </w:num>
  <w:num w:numId="35">
    <w:abstractNumId w:val="56"/>
  </w:num>
  <w:num w:numId="36">
    <w:abstractNumId w:val="11"/>
  </w:num>
  <w:num w:numId="37">
    <w:abstractNumId w:val="54"/>
  </w:num>
  <w:num w:numId="38">
    <w:abstractNumId w:val="47"/>
  </w:num>
  <w:num w:numId="39">
    <w:abstractNumId w:val="15"/>
  </w:num>
  <w:num w:numId="40">
    <w:abstractNumId w:val="12"/>
  </w:num>
  <w:num w:numId="41">
    <w:abstractNumId w:val="37"/>
  </w:num>
  <w:num w:numId="42">
    <w:abstractNumId w:val="66"/>
  </w:num>
  <w:num w:numId="43">
    <w:abstractNumId w:val="58"/>
  </w:num>
  <w:num w:numId="44">
    <w:abstractNumId w:val="24"/>
  </w:num>
  <w:num w:numId="45">
    <w:abstractNumId w:val="16"/>
  </w:num>
  <w:num w:numId="46">
    <w:abstractNumId w:val="23"/>
  </w:num>
  <w:num w:numId="47">
    <w:abstractNumId w:val="9"/>
  </w:num>
  <w:num w:numId="48">
    <w:abstractNumId w:val="19"/>
  </w:num>
  <w:num w:numId="49">
    <w:abstractNumId w:val="61"/>
  </w:num>
  <w:num w:numId="50">
    <w:abstractNumId w:val="59"/>
  </w:num>
  <w:num w:numId="51">
    <w:abstractNumId w:val="30"/>
  </w:num>
  <w:num w:numId="52">
    <w:abstractNumId w:val="48"/>
  </w:num>
  <w:num w:numId="53">
    <w:abstractNumId w:val="53"/>
  </w:num>
  <w:num w:numId="54">
    <w:abstractNumId w:val="35"/>
  </w:num>
  <w:num w:numId="55">
    <w:abstractNumId w:val="1"/>
  </w:num>
  <w:num w:numId="56">
    <w:abstractNumId w:val="17"/>
  </w:num>
  <w:num w:numId="57">
    <w:abstractNumId w:val="21"/>
  </w:num>
  <w:num w:numId="58">
    <w:abstractNumId w:val="28"/>
  </w:num>
  <w:num w:numId="59">
    <w:abstractNumId w:val="34"/>
  </w:num>
  <w:num w:numId="60">
    <w:abstractNumId w:val="46"/>
  </w:num>
  <w:num w:numId="61">
    <w:abstractNumId w:val="43"/>
  </w:num>
  <w:num w:numId="62">
    <w:abstractNumId w:val="65"/>
  </w:num>
  <w:num w:numId="63">
    <w:abstractNumId w:val="29"/>
  </w:num>
  <w:num w:numId="64">
    <w:abstractNumId w:val="7"/>
  </w:num>
  <w:num w:numId="65">
    <w:abstractNumId w:val="39"/>
  </w:num>
  <w:num w:numId="66">
    <w:abstractNumId w:val="4"/>
  </w:num>
  <w:num w:numId="67">
    <w:abstractNumId w:val="25"/>
    <w:lvlOverride w:ilvl="0">
      <w:startOverride w:val="1"/>
    </w:lvlOverride>
  </w:num>
  <w:num w:numId="68">
    <w:abstractNumId w:val="25"/>
  </w:num>
  <w:num w:numId="69">
    <w:abstractNumId w:val="25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19"/>
    <w:rsid w:val="00041F39"/>
    <w:rsid w:val="00087052"/>
    <w:rsid w:val="00111207"/>
    <w:rsid w:val="001457BA"/>
    <w:rsid w:val="003502A7"/>
    <w:rsid w:val="003C0410"/>
    <w:rsid w:val="00587A4C"/>
    <w:rsid w:val="006B7C3F"/>
    <w:rsid w:val="0078612E"/>
    <w:rsid w:val="007F7819"/>
    <w:rsid w:val="00967664"/>
    <w:rsid w:val="00B40FB2"/>
    <w:rsid w:val="00B95CB3"/>
    <w:rsid w:val="00C52870"/>
    <w:rsid w:val="00CB2FC6"/>
    <w:rsid w:val="00E64C7A"/>
    <w:rsid w:val="00EF0B30"/>
    <w:rsid w:val="00F43491"/>
    <w:rsid w:val="00F52D93"/>
    <w:rsid w:val="00F641D8"/>
    <w:rsid w:val="00FA0506"/>
    <w:rsid w:val="00FD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70A6D-3BF2-4789-896F-E13CA09F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3D9F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02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Akapitzlist"/>
    <w:next w:val="Normalny"/>
    <w:link w:val="Nagwek3Znak"/>
    <w:uiPriority w:val="9"/>
    <w:unhideWhenUsed/>
    <w:qFormat/>
    <w:rsid w:val="002A3D9F"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77BE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A3D9F"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3D9F"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uiPriority w:val="99"/>
    <w:qFormat/>
    <w:rPr>
      <w:lang w:val="x-none" w:eastAsia="x-none"/>
    </w:rPr>
  </w:style>
  <w:style w:type="character" w:customStyle="1" w:styleId="TekstdymkaZnak">
    <w:name w:val="Tekst dymka Znak"/>
    <w:link w:val="Tekstdymka"/>
    <w:uiPriority w:val="99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locked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E156D"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E156D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qFormat/>
    <w:rsid w:val="00FE156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FE156D"/>
    <w:rPr>
      <w:rFonts w:cs="Calibri"/>
      <w:color w:val="000000"/>
      <w:u w:val="none" w:color="000000"/>
      <w:lang w:val="de-DE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A77BE3"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uiPriority w:val="99"/>
    <w:qFormat/>
    <w:rsid w:val="008614A3"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E242A2"/>
    <w:rPr>
      <w:rFonts w:ascii="Arial" w:eastAsiaTheme="minorHAns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A02C2"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uiPriority w:val="99"/>
    <w:qFormat/>
    <w:locked/>
    <w:rsid w:val="00BA02C2"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BA02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2A3D9F"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2A3D9F"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2A3D9F"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2A3D9F"/>
    <w:rPr>
      <w:rFonts w:cs="Calibri"/>
      <w:b/>
      <w:color w:val="000000"/>
    </w:rPr>
  </w:style>
  <w:style w:type="character" w:customStyle="1" w:styleId="czeinternetowe">
    <w:name w:val="Łącze internetowe"/>
    <w:uiPriority w:val="99"/>
    <w:rsid w:val="002A3D9F"/>
    <w:rPr>
      <w:color w:val="0000FF"/>
      <w:u w:val="single"/>
    </w:rPr>
  </w:style>
  <w:style w:type="character" w:styleId="Numerstrony">
    <w:name w:val="page number"/>
    <w:basedOn w:val="Domylnaczcionkaakapitu"/>
    <w:qFormat/>
    <w:rsid w:val="002A3D9F"/>
  </w:style>
  <w:style w:type="character" w:customStyle="1" w:styleId="MapadokumentuZnak">
    <w:name w:val="Mapa dokumentu Znak"/>
    <w:basedOn w:val="Domylnaczcionkaakapitu"/>
    <w:link w:val="Mapadokumentu"/>
    <w:qFormat/>
    <w:rsid w:val="002A3D9F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  <w:rsid w:val="002A3D9F"/>
  </w:style>
  <w:style w:type="character" w:styleId="Pogrubienie">
    <w:name w:val="Strong"/>
    <w:qFormat/>
    <w:rsid w:val="002A3D9F"/>
    <w:rPr>
      <w:b/>
      <w:bCs/>
    </w:rPr>
  </w:style>
  <w:style w:type="character" w:customStyle="1" w:styleId="fontstyle01">
    <w:name w:val="fontstyle01"/>
    <w:qFormat/>
    <w:rsid w:val="002A3D9F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sid w:val="002A3D9F"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2A3D9F"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2A3D9F"/>
    <w:rPr>
      <w:vertAlign w:val="superscript"/>
    </w:rPr>
  </w:style>
  <w:style w:type="character" w:customStyle="1" w:styleId="style5">
    <w:name w:val="style5"/>
    <w:qFormat/>
    <w:rsid w:val="002A3D9F"/>
  </w:style>
  <w:style w:type="character" w:customStyle="1" w:styleId="TytuZnak">
    <w:name w:val="Tytuł Znak"/>
    <w:link w:val="Tytu"/>
    <w:uiPriority w:val="10"/>
    <w:qFormat/>
    <w:locked/>
    <w:rsid w:val="002A3D9F"/>
    <w:rPr>
      <w:sz w:val="36"/>
    </w:rPr>
  </w:style>
  <w:style w:type="character" w:customStyle="1" w:styleId="TytuZnak1">
    <w:name w:val="Tytuł Znak1"/>
    <w:basedOn w:val="Domylnaczcionkaakapitu"/>
    <w:uiPriority w:val="10"/>
    <w:qFormat/>
    <w:rsid w:val="002A3D9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UnresolvedMention1">
    <w:name w:val="Unresolved Mention1"/>
    <w:uiPriority w:val="99"/>
    <w:semiHidden/>
    <w:unhideWhenUsed/>
    <w:qFormat/>
    <w:rsid w:val="002A3D9F"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uiPriority w:val="99"/>
    <w:qFormat/>
    <w:rsid w:val="002A3D9F"/>
    <w:rPr>
      <w:rFonts w:ascii="Cambria" w:eastAsia="Times New Roman" w:hAnsi="Cambria" w:cs="Cambria"/>
      <w:b/>
      <w:bCs/>
      <w:color w:val="000000"/>
      <w:u w:val="none" w:color="000000"/>
      <w:lang w:val="de-DE"/>
    </w:rPr>
  </w:style>
  <w:style w:type="character" w:customStyle="1" w:styleId="HTML-wstpniesformatowanyZnak">
    <w:name w:val="HTML - wstępnie sformatowany Znak"/>
    <w:uiPriority w:val="99"/>
    <w:qFormat/>
    <w:rsid w:val="002A3D9F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sid w:val="002A3D9F"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uiPriority w:val="99"/>
    <w:qFormat/>
    <w:rsid w:val="002A3D9F"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sid w:val="002A3D9F"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  <w:rsid w:val="002A3D9F"/>
  </w:style>
  <w:style w:type="character" w:customStyle="1" w:styleId="eop">
    <w:name w:val="eop"/>
    <w:basedOn w:val="Domylnaczcionkaakapitu"/>
    <w:qFormat/>
    <w:rsid w:val="002A3D9F"/>
  </w:style>
  <w:style w:type="character" w:customStyle="1" w:styleId="normaltextrun1">
    <w:name w:val="normaltextrun1"/>
    <w:basedOn w:val="Domylnaczcionkaakapitu"/>
    <w:qFormat/>
    <w:rsid w:val="002A3D9F"/>
  </w:style>
  <w:style w:type="character" w:customStyle="1" w:styleId="Nierozpoznanawzmianka1">
    <w:name w:val="Nierozpoznana wzmianka1"/>
    <w:uiPriority w:val="99"/>
    <w:unhideWhenUsed/>
    <w:qFormat/>
    <w:rsid w:val="002A3D9F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qFormat/>
    <w:rsid w:val="002A3D9F"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uiPriority w:val="99"/>
    <w:qFormat/>
    <w:rsid w:val="002A3D9F"/>
    <w:rPr>
      <w:rFonts w:ascii="Courier New" w:hAnsi="Courier New" w:cs="Courier New"/>
    </w:rPr>
  </w:style>
  <w:style w:type="character" w:customStyle="1" w:styleId="TekstdymkaZnak1">
    <w:name w:val="Tekst dymka Znak1"/>
    <w:uiPriority w:val="99"/>
    <w:semiHidden/>
    <w:qFormat/>
    <w:rsid w:val="002A3D9F"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uiPriority w:val="99"/>
    <w:semiHidden/>
    <w:qFormat/>
    <w:rsid w:val="002A3D9F"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uiPriority w:val="99"/>
    <w:semiHidden/>
    <w:qFormat/>
    <w:rsid w:val="002A3D9F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uiPriority w:val="99"/>
    <w:unhideWhenUsed/>
    <w:rsid w:val="002A3D9F"/>
    <w:rPr>
      <w:color w:val="954F72"/>
      <w:u w:val="single"/>
    </w:rPr>
  </w:style>
  <w:style w:type="character" w:customStyle="1" w:styleId="NagwekZnak1">
    <w:name w:val="Nagłówek Znak1"/>
    <w:uiPriority w:val="99"/>
    <w:semiHidden/>
    <w:qFormat/>
    <w:rsid w:val="002A3D9F"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uiPriority w:val="99"/>
    <w:semiHidden/>
    <w:qFormat/>
    <w:rsid w:val="002A3D9F"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uiPriority w:val="99"/>
    <w:qFormat/>
    <w:rsid w:val="002A3D9F"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2A3D9F"/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next w:val="Tekstpodstawowy"/>
    <w:link w:val="NagwekZnak"/>
    <w:unhideWhenUsed/>
    <w:rsid w:val="00FE156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A02C2"/>
    <w:pPr>
      <w:spacing w:after="120"/>
    </w:pPr>
  </w:style>
  <w:style w:type="paragraph" w:styleId="Lista">
    <w:name w:val="List"/>
    <w:basedOn w:val="Tekstpodstawowy1"/>
    <w:rsid w:val="002A3D9F"/>
    <w:rPr>
      <w:rFonts w:cs="Lucida Sans"/>
    </w:rPr>
  </w:style>
  <w:style w:type="paragraph" w:styleId="Legenda">
    <w:name w:val="caption"/>
    <w:basedOn w:val="Normalny"/>
    <w:uiPriority w:val="35"/>
    <w:qFormat/>
    <w:rsid w:val="002A3D9F"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rsid w:val="002A3D9F"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sid w:val="002A3D9F"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uiPriority w:val="99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unhideWhenUsed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FE156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FE156D"/>
    <w:pPr>
      <w:spacing w:after="200"/>
    </w:pPr>
    <w:rPr>
      <w:rFonts w:ascii="Calibri" w:eastAsia="Calibri" w:hAnsi="Calibri" w:cs="Calibri"/>
      <w:color w:val="000000"/>
      <w:sz w:val="20"/>
      <w:szCs w:val="20"/>
      <w:u w:color="000000"/>
      <w:lang w:val="de-DE"/>
    </w:rPr>
  </w:style>
  <w:style w:type="paragraph" w:customStyle="1" w:styleId="Akapitzlist2">
    <w:name w:val="Akapit z listą2"/>
    <w:basedOn w:val="Normalny"/>
    <w:qFormat/>
    <w:rsid w:val="00495E3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sid w:val="00F32433"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uiPriority w:val="99"/>
    <w:qFormat/>
    <w:rsid w:val="008614A3"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E242A2"/>
    <w:rPr>
      <w:rFonts w:ascii="Arial" w:eastAsiaTheme="minorHAnsi" w:hAnsi="Arial" w:cs="Arial"/>
      <w:sz w:val="20"/>
      <w:szCs w:val="20"/>
      <w:lang w:eastAsia="en-US"/>
    </w:rPr>
  </w:style>
  <w:style w:type="paragraph" w:customStyle="1" w:styleId="Standard">
    <w:name w:val="Standard"/>
    <w:uiPriority w:val="99"/>
    <w:qFormat/>
    <w:rsid w:val="00BA02C2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uiPriority w:val="99"/>
    <w:qFormat/>
    <w:rsid w:val="00BA02C2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rsid w:val="002A3D9F"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rsid w:val="008A2951"/>
    <w:pPr>
      <w:spacing w:beforeAutospacing="1" w:after="142" w:line="276" w:lineRule="auto"/>
    </w:pPr>
  </w:style>
  <w:style w:type="paragraph" w:customStyle="1" w:styleId="tekstwstpny">
    <w:name w:val="tekst wstępny"/>
    <w:basedOn w:val="Normalny"/>
    <w:qFormat/>
    <w:rsid w:val="00A61837"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sid w:val="002A3D9F"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sid w:val="002A3D9F"/>
    <w:rPr>
      <w:sz w:val="20"/>
      <w:szCs w:val="20"/>
    </w:rPr>
  </w:style>
  <w:style w:type="paragraph" w:customStyle="1" w:styleId="AK2">
    <w:name w:val="AK_2"/>
    <w:basedOn w:val="pp2"/>
    <w:qFormat/>
    <w:rsid w:val="002A3D9F"/>
    <w:pPr>
      <w:ind w:left="540" w:firstLine="540"/>
    </w:pPr>
  </w:style>
  <w:style w:type="paragraph" w:customStyle="1" w:styleId="pp2">
    <w:name w:val="pp_2"/>
    <w:basedOn w:val="Normalny"/>
    <w:qFormat/>
    <w:rsid w:val="002A3D9F"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uiPriority w:val="10"/>
    <w:qFormat/>
    <w:rsid w:val="002A3D9F"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qFormat/>
    <w:rsid w:val="002A3D9F"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unhideWhenUsed/>
    <w:qFormat/>
    <w:rsid w:val="002A3D9F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2A3D9F"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uiPriority w:val="39"/>
    <w:unhideWhenUsed/>
    <w:rsid w:val="002A3D9F"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uiPriority w:val="39"/>
    <w:unhideWhenUsed/>
    <w:rsid w:val="002A3D9F"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unhideWhenUsed/>
    <w:qFormat/>
    <w:rsid w:val="002A3D9F"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uiPriority w:val="1"/>
    <w:qFormat/>
    <w:rsid w:val="002A3D9F"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uiPriority w:val="99"/>
    <w:unhideWhenUsed/>
    <w:qFormat/>
    <w:rsid w:val="002A3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  <w:rsid w:val="002A3D9F"/>
  </w:style>
  <w:style w:type="paragraph" w:customStyle="1" w:styleId="abcZnak">
    <w:name w:val="abc Znak"/>
    <w:basedOn w:val="Normalny"/>
    <w:qFormat/>
    <w:rsid w:val="002A3D9F"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rsid w:val="002A3D9F"/>
    <w:pPr>
      <w:spacing w:beforeAutospacing="1" w:afterAutospacing="1"/>
    </w:pPr>
  </w:style>
  <w:style w:type="paragraph" w:styleId="Poprawka">
    <w:name w:val="Revision"/>
    <w:uiPriority w:val="99"/>
    <w:semiHidden/>
    <w:qFormat/>
    <w:rsid w:val="002A3D9F"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rsid w:val="002A3D9F"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uiPriority w:val="99"/>
    <w:unhideWhenUsed/>
    <w:qFormat/>
    <w:rsid w:val="002A3D9F"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uiPriority w:val="99"/>
    <w:unhideWhenUsed/>
    <w:qFormat/>
    <w:rsid w:val="002A3D9F"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rsid w:val="002A3D9F"/>
    <w:pPr>
      <w:spacing w:beforeAutospacing="1" w:afterAutospacing="1"/>
    </w:pPr>
  </w:style>
  <w:style w:type="paragraph" w:customStyle="1" w:styleId="xl68">
    <w:name w:val="xl68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Autospacing="1" w:afterAutospacing="1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rsid w:val="002A3D9F"/>
    <w:pPr>
      <w:spacing w:beforeAutospacing="1" w:afterAutospacing="1"/>
    </w:pPr>
  </w:style>
  <w:style w:type="paragraph" w:customStyle="1" w:styleId="xl86">
    <w:name w:val="xl86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88">
    <w:name w:val="xl88"/>
    <w:basedOn w:val="Normalny"/>
    <w:qFormat/>
    <w:rsid w:val="002A3D9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rsid w:val="002A3D9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rsid w:val="002A3D9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93">
    <w:name w:val="xl9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2A3D9F"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rsid w:val="002A3D9F"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uiPriority w:val="99"/>
    <w:qFormat/>
    <w:rsid w:val="002A3D9F"/>
  </w:style>
  <w:style w:type="numbering" w:customStyle="1" w:styleId="Biecalista1">
    <w:name w:val="Bieżąca lista1"/>
    <w:uiPriority w:val="99"/>
    <w:qFormat/>
    <w:rsid w:val="002A3D9F"/>
  </w:style>
  <w:style w:type="table" w:styleId="Tabela-Siatka">
    <w:name w:val="Table Grid"/>
    <w:basedOn w:val="Standardowy"/>
    <w:uiPriority w:val="39"/>
    <w:rsid w:val="002A3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rsid w:val="002A3D9F"/>
    <w:pPr>
      <w:spacing w:line="259" w:lineRule="auto"/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A3D9F"/>
    <w:pPr>
      <w:spacing w:line="259" w:lineRule="auto"/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A3D9F"/>
    <w:pPr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2A3D9F"/>
    <w:pPr>
      <w:jc w:val="right"/>
    </w:pPr>
    <w:rPr>
      <w:sz w:val="19"/>
      <w:szCs w:val="19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5F89A-6D1C-42C6-B1DC-C96A267B4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43</Pages>
  <Words>13999</Words>
  <Characters>83995</Characters>
  <Application>Microsoft Office Word</Application>
  <DocSecurity>0</DocSecurity>
  <Lines>699</Lines>
  <Paragraphs>195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11</cp:revision>
  <cp:lastPrinted>2024-07-05T12:13:00Z</cp:lastPrinted>
  <dcterms:created xsi:type="dcterms:W3CDTF">2024-07-31T11:07:00Z</dcterms:created>
  <dcterms:modified xsi:type="dcterms:W3CDTF">2024-07-31T11:31:00Z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