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6A8" w:rsidRPr="004046A8" w:rsidRDefault="004046A8" w:rsidP="004046A8">
      <w:pPr>
        <w:keepNext/>
        <w:suppressAutoHyphens w:val="0"/>
        <w:spacing w:before="240" w:after="60" w:line="240" w:lineRule="auto"/>
        <w:outlineLvl w:val="1"/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</w:pP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Załącznik </w:t>
      </w:r>
      <w:proofErr w:type="gramStart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nr 2-</w:t>
      </w:r>
      <w:r w:rsidR="008368C5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2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                         </w:t>
      </w:r>
      <w:proofErr w:type="gramEnd"/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 xml:space="preserve">                     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ab/>
        <w:t xml:space="preserve"> ZOZ/DZP/PN/</w:t>
      </w:r>
      <w:r w:rsidR="00BC4E76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="001C273C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1</w:t>
      </w:r>
      <w:r w:rsidRPr="004046A8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/2</w:t>
      </w:r>
      <w:r w:rsidR="001C273C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5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                  </w:t>
      </w:r>
    </w:p>
    <w:p w:rsidR="004046A8" w:rsidRPr="004046A8" w:rsidRDefault="004046A8" w:rsidP="004046A8">
      <w:pPr>
        <w:suppressAutoHyphens w:val="0"/>
        <w:jc w:val="center"/>
        <w:rPr>
          <w:rFonts w:ascii="Arial" w:hAnsi="Arial" w:cs="Arial"/>
          <w:b/>
          <w:sz w:val="20"/>
        </w:rPr>
      </w:pPr>
      <w:r w:rsidRPr="004046A8">
        <w:rPr>
          <w:rFonts w:ascii="Arial" w:hAnsi="Arial" w:cs="Arial"/>
          <w:b/>
          <w:sz w:val="20"/>
        </w:rPr>
        <w:t>OPIS PRZEDMIOTU ZAMÓWIENIA</w:t>
      </w:r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bookmarkStart w:id="0" w:name="_GoBack"/>
      <w:bookmarkEnd w:id="0"/>
    </w:p>
    <w:p w:rsidR="004046A8" w:rsidRPr="004046A8" w:rsidRDefault="004046A8" w:rsidP="004046A8">
      <w:pPr>
        <w:widowControl w:val="0"/>
        <w:autoSpaceDN w:val="0"/>
        <w:spacing w:after="0" w:line="240" w:lineRule="auto"/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</w:pPr>
      <w:r w:rsidRPr="004046A8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 xml:space="preserve">Zadanie nr </w:t>
      </w:r>
      <w:r w:rsidR="008368C5">
        <w:rPr>
          <w:rFonts w:ascii="Arial" w:eastAsia="SimSun" w:hAnsi="Arial" w:cs="Arial"/>
          <w:b/>
          <w:bCs/>
          <w:kern w:val="3"/>
          <w:sz w:val="20"/>
          <w:szCs w:val="20"/>
          <w:lang w:eastAsia="zh-CN" w:bidi="hi-IN"/>
        </w:rPr>
        <w:t>2</w:t>
      </w:r>
    </w:p>
    <w:p w:rsidR="0079779E" w:rsidRDefault="0079779E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E3CF7" w:rsidRPr="004E3CF7" w:rsidRDefault="00C3486A" w:rsidP="004E3CF7">
      <w:pPr>
        <w:pStyle w:val="NormalnyWeb"/>
        <w:spacing w:after="0"/>
        <w:rPr>
          <w:color w:val="auto"/>
          <w:lang w:val="cs-CZ"/>
        </w:rPr>
      </w:pPr>
      <w:r>
        <w:rPr>
          <w:rFonts w:ascii="Arial" w:hAnsi="Arial" w:cs="Arial"/>
          <w:b/>
          <w:bCs/>
          <w:sz w:val="20"/>
          <w:szCs w:val="20"/>
        </w:rPr>
        <w:t xml:space="preserve">Analizator </w:t>
      </w:r>
      <w:r w:rsidR="001C273C">
        <w:rPr>
          <w:rFonts w:ascii="Arial" w:hAnsi="Arial" w:cs="Arial"/>
          <w:b/>
          <w:bCs/>
          <w:sz w:val="20"/>
          <w:szCs w:val="20"/>
        </w:rPr>
        <w:t xml:space="preserve">do </w:t>
      </w:r>
      <w:r w:rsidR="00D66BDA" w:rsidRPr="003D3C6B">
        <w:rPr>
          <w:rFonts w:ascii="Arial" w:hAnsi="Arial" w:cs="Arial"/>
          <w:b/>
          <w:sz w:val="20"/>
          <w:szCs w:val="20"/>
        </w:rPr>
        <w:t>automatycznego wybarwiania roz</w:t>
      </w:r>
      <w:r w:rsidR="00D66BDA" w:rsidRPr="00D66BDA">
        <w:rPr>
          <w:rFonts w:ascii="Arial" w:hAnsi="Arial" w:cs="Arial"/>
          <w:b/>
          <w:sz w:val="20"/>
          <w:szCs w:val="20"/>
        </w:rPr>
        <w:t>mazów krwi oraz szpiku kostnego</w:t>
      </w:r>
      <w:r w:rsidR="00D66BDA">
        <w:rPr>
          <w:rFonts w:ascii="Arial" w:hAnsi="Arial" w:cs="Arial"/>
          <w:b/>
          <w:bCs/>
          <w:sz w:val="20"/>
          <w:szCs w:val="20"/>
        </w:rPr>
        <w:t xml:space="preserve"> </w:t>
      </w:r>
      <w:r w:rsidR="004046A8">
        <w:rPr>
          <w:rFonts w:ascii="Arial" w:hAnsi="Arial" w:cs="Arial"/>
          <w:b/>
          <w:bCs/>
          <w:sz w:val="20"/>
          <w:szCs w:val="20"/>
        </w:rPr>
        <w:t>(dzierżawa)</w:t>
      </w:r>
    </w:p>
    <w:p w:rsidR="0079779E" w:rsidRDefault="0079779E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</w:p>
    <w:p w:rsidR="0079779E" w:rsidRDefault="00C3486A">
      <w:pPr>
        <w:pStyle w:val="Listapunktowana3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na 36 miesięcy</w:t>
      </w:r>
    </w:p>
    <w:tbl>
      <w:tblPr>
        <w:tblW w:w="9494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40"/>
        <w:gridCol w:w="668"/>
        <w:gridCol w:w="4283"/>
        <w:gridCol w:w="1265"/>
        <w:gridCol w:w="3238"/>
      </w:tblGrid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54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6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2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 w:rsidP="001C273C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Urządzenia </w:t>
            </w:r>
            <w:r w:rsidR="001C273C">
              <w:rPr>
                <w:rFonts w:ascii="Arial" w:hAnsi="Arial" w:cs="Arial"/>
                <w:bCs/>
                <w:sz w:val="20"/>
                <w:szCs w:val="20"/>
              </w:rPr>
              <w:t>nie starsze niż: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rok produkcji 202</w:t>
            </w:r>
            <w:r w:rsidR="001C273C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C3486A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9779E" w:rsidTr="004046A8">
        <w:trPr>
          <w:trHeight w:val="554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3C6B" w:rsidRPr="003D3C6B" w:rsidRDefault="003D3C6B" w:rsidP="003D3C6B">
            <w:pPr>
              <w:suppressAutoHyphens w:val="0"/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Urządzenie do automatycznego wybarwiania roz</w:t>
            </w: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mazów krwi oraz szpiku kostnego </w:t>
            </w: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zakończone procesem automatycznego suszenia preparatów</w:t>
            </w:r>
            <w:r w:rsidRPr="003D3C6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wraz z dedykowanymi akcesoriami.</w:t>
            </w:r>
          </w:p>
          <w:p w:rsidR="0079779E" w:rsidRPr="003D3C6B" w:rsidRDefault="003D3C6B" w:rsidP="003D3C6B">
            <w:pPr>
              <w:suppressAutoHyphens w:val="0"/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D3C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 testów(rozmazów) 2510 /36 miesięcy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D3C6B" w:rsidRPr="003D3C6B" w:rsidRDefault="003D3C6B" w:rsidP="003D3C6B">
            <w:pPr>
              <w:suppressAutoHyphens w:val="0"/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Urządzenie sterowane za pomocą dotykowego wyświetlacza LCD.</w:t>
            </w:r>
          </w:p>
          <w:p w:rsidR="0079779E" w:rsidRPr="003D3C6B" w:rsidRDefault="003D3C6B" w:rsidP="003D3C6B">
            <w:pPr>
              <w:suppressAutoHyphens w:val="0"/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gramStart"/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Posiadające co</w:t>
            </w:r>
            <w:proofErr w:type="gramEnd"/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najmniej 10 konfigurowalnych protokołów barwienia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D3C6B" w:rsidRDefault="003D3C6B" w:rsidP="003D3C6B">
            <w:pPr>
              <w:suppressAutoHyphens w:val="0"/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Wymiary urządzenia: szerokość nie więcej niż 43 cm, wysokość nie więcej niż 63 cm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52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D3C6B" w:rsidRDefault="003D3C6B" w:rsidP="003D3C6B">
            <w:pPr>
              <w:suppressAutoHyphens w:val="0"/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Odczynniki gotowe do użycia, nie powinny zawierać metanolu, pakowane w zestawach do wstawienia na pokład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D3C6B" w:rsidRDefault="003D3C6B" w:rsidP="003D3C6B">
            <w:pPr>
              <w:suppressAutoHyphens w:val="0"/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Okres stabilności odczynników na pokładzie urządzenia do barwienia nie krótszy niż 21 dni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trHeight w:val="549"/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D3C6B" w:rsidRDefault="003D3C6B" w:rsidP="003D3C6B">
            <w:pPr>
              <w:suppressAutoHyphens w:val="0"/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szkiełek do jednorazowego wstawienia na pokład nie więcej niż 20 sztuk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D3C6B" w:rsidRDefault="003D3C6B" w:rsidP="003D3C6B">
            <w:pPr>
              <w:suppressAutoHyphens w:val="0"/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Aparat wyposażony w UPS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B05FA1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9779E" w:rsidTr="004046A8">
        <w:trPr>
          <w:jc w:val="center"/>
        </w:trPr>
        <w:tc>
          <w:tcPr>
            <w:tcW w:w="40" w:type="dxa"/>
          </w:tcPr>
          <w:p w:rsidR="0079779E" w:rsidRDefault="0079779E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Default="00C3486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2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9779E" w:rsidRPr="003D3C6B" w:rsidRDefault="003D3C6B" w:rsidP="003D3C6B">
            <w:pPr>
              <w:suppressAutoHyphens w:val="0"/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3D3C6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12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C3486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779E" w:rsidRDefault="0079779E">
            <w:pPr>
              <w:widowControl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4046A8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</w:t>
      </w:r>
    </w:p>
    <w:tbl>
      <w:tblPr>
        <w:tblW w:w="9495" w:type="dxa"/>
        <w:jc w:val="center"/>
        <w:tblLayout w:type="fixed"/>
        <w:tblCellMar>
          <w:left w:w="15" w:type="dxa"/>
          <w:right w:w="15" w:type="dxa"/>
        </w:tblCellMar>
        <w:tblLook w:val="00A0" w:firstRow="1" w:lastRow="0" w:firstColumn="1" w:lastColumn="0" w:noHBand="0" w:noVBand="0"/>
      </w:tblPr>
      <w:tblGrid>
        <w:gridCol w:w="9445"/>
        <w:gridCol w:w="50"/>
      </w:tblGrid>
      <w:tr w:rsidR="004046A8" w:rsidTr="00186832">
        <w:trPr>
          <w:trHeight w:val="284"/>
          <w:jc w:val="center"/>
        </w:trPr>
        <w:tc>
          <w:tcPr>
            <w:tcW w:w="947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4046A8" w:rsidRDefault="004046A8" w:rsidP="00186832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WARUNKI GWARANCJI I SERWISU ORAZ SZKOLENIE</w:t>
            </w:r>
          </w:p>
        </w:tc>
        <w:tc>
          <w:tcPr>
            <w:tcW w:w="18" w:type="dxa"/>
            <w:tcBorders>
              <w:top w:val="single" w:sz="2" w:space="0" w:color="000000"/>
            </w:tcBorders>
          </w:tcPr>
          <w:p w:rsidR="004046A8" w:rsidRDefault="004046A8" w:rsidP="00186832">
            <w:pPr>
              <w:widowControl w:val="0"/>
            </w:pPr>
          </w:p>
        </w:tc>
      </w:tr>
    </w:tbl>
    <w:p w:rsidR="0079779E" w:rsidRDefault="0079779E">
      <w:pPr>
        <w:pStyle w:val="Tekstpodstawowy"/>
        <w:rPr>
          <w:rFonts w:ascii="Arial" w:hAnsi="Arial" w:cs="Arial"/>
          <w:sz w:val="20"/>
          <w:szCs w:val="20"/>
        </w:rPr>
      </w:pPr>
    </w:p>
    <w:tbl>
      <w:tblPr>
        <w:tblW w:w="9654" w:type="dxa"/>
        <w:tblInd w:w="-401" w:type="dxa"/>
        <w:tblLayout w:type="fixed"/>
        <w:tblLook w:val="04A0" w:firstRow="1" w:lastRow="0" w:firstColumn="1" w:lastColumn="0" w:noHBand="0" w:noVBand="1"/>
      </w:tblPr>
      <w:tblGrid>
        <w:gridCol w:w="733"/>
        <w:gridCol w:w="6243"/>
        <w:gridCol w:w="632"/>
        <w:gridCol w:w="2046"/>
      </w:tblGrid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Czas reakcji serwisu na zgłoszenie (nie dłużej niż 48 godz.)</w:t>
            </w:r>
          </w:p>
          <w:p w:rsidR="0079779E" w:rsidRDefault="0079779E">
            <w:pPr>
              <w:pStyle w:val="Bezodstpw"/>
              <w:widowControl w:val="0"/>
              <w:rPr>
                <w:rFonts w:ascii="Arial" w:hAnsi="Arial" w:cs="Arial"/>
                <w:color w:val="FF0000"/>
                <w:sz w:val="20"/>
                <w:shd w:val="clear" w:color="auto" w:fill="FFFF00"/>
              </w:rPr>
            </w:pP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- 48 godzin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Jeżeli czas naprawy będzie trwał dłużej niż 2 dni, Zamawiający wymaga dostarczenia aparatu zastępczego o parametrach nie gorszych niż oferowany.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 przypadku stwierdzenia awarii analizatora niemożliwej do usunięcia w ciągu 24 godzin, Wydzierżawiający pokrywa różnicę kosztów związanych z wykonaniem badań zleconych w innym laboratorium.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Wydzierżawiający zobowiązany jest do wykonania be</w:t>
            </w:r>
            <w:r w:rsidR="003D3C6B">
              <w:rPr>
                <w:rFonts w:ascii="Arial" w:hAnsi="Arial" w:cs="Arial"/>
                <w:color w:val="000000"/>
                <w:sz w:val="20"/>
                <w:szCs w:val="20"/>
              </w:rPr>
              <w:t>zpłatnych przeglądów okresowych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oraz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color w:val="000000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color w:val="000000"/>
                <w:sz w:val="20"/>
              </w:rPr>
              <w:t>, fax, e-mail)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Wydzierżawiający winien wykonywać przeglądy i aktualizację oprogramowania w okresie trwania umowy.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  <w:tr w:rsidR="0079779E">
        <w:trPr>
          <w:trHeight w:val="229"/>
        </w:trPr>
        <w:tc>
          <w:tcPr>
            <w:tcW w:w="7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</w:pPr>
            <w:r>
              <w:t>8</w:t>
            </w:r>
          </w:p>
        </w:tc>
        <w:tc>
          <w:tcPr>
            <w:tcW w:w="62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C3486A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>Przepro</w:t>
            </w:r>
            <w:r w:rsidR="003D3C6B">
              <w:rPr>
                <w:rFonts w:ascii="Arial" w:hAnsi="Arial" w:cs="Arial"/>
                <w:sz w:val="20"/>
                <w:szCs w:val="20"/>
              </w:rPr>
              <w:t>wadzenie bezpłatnego szkolenia u</w:t>
            </w:r>
            <w:r>
              <w:rPr>
                <w:rFonts w:ascii="Arial" w:hAnsi="Arial" w:cs="Arial"/>
                <w:sz w:val="20"/>
                <w:szCs w:val="20"/>
              </w:rPr>
              <w:t xml:space="preserve">żytkowników </w:t>
            </w:r>
            <w:r>
              <w:rPr>
                <w:rFonts w:ascii="Arial" w:hAnsi="Arial"/>
                <w:sz w:val="20"/>
                <w:szCs w:val="20"/>
              </w:rPr>
              <w:t>pracujących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9779E" w:rsidRDefault="0079779E">
            <w:pPr>
              <w:widowControl w:val="0"/>
              <w:spacing w:line="252" w:lineRule="auto"/>
              <w:jc w:val="center"/>
              <w:rPr>
                <w:rFonts w:ascii="Arial" w:hAnsi="Arial" w:cs="Arial"/>
                <w:color w:val="92D050"/>
                <w:kern w:val="2"/>
                <w:sz w:val="20"/>
                <w:szCs w:val="20"/>
              </w:rPr>
            </w:pPr>
          </w:p>
        </w:tc>
      </w:tr>
    </w:tbl>
    <w:p w:rsidR="0079779E" w:rsidRDefault="0079779E"/>
    <w:p w:rsidR="0079779E" w:rsidRDefault="0079779E"/>
    <w:p w:rsidR="0079779E" w:rsidRDefault="00C3486A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79779E" w:rsidRDefault="007F3D10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C3486A">
        <w:rPr>
          <w:rFonts w:ascii="Arial" w:hAnsi="Arial" w:cs="Arial"/>
          <w:sz w:val="20"/>
          <w:szCs w:val="20"/>
        </w:rPr>
        <w:t xml:space="preserve">Oferta </w:t>
      </w:r>
      <w:proofErr w:type="gramStart"/>
      <w:r w:rsidR="00C3486A">
        <w:rPr>
          <w:rFonts w:ascii="Arial" w:hAnsi="Arial" w:cs="Arial"/>
          <w:sz w:val="20"/>
          <w:szCs w:val="20"/>
        </w:rPr>
        <w:t>nie spełniająca</w:t>
      </w:r>
      <w:proofErr w:type="gramEnd"/>
      <w:r w:rsidR="00C3486A">
        <w:rPr>
          <w:rFonts w:ascii="Arial" w:hAnsi="Arial" w:cs="Arial"/>
          <w:sz w:val="20"/>
          <w:szCs w:val="20"/>
        </w:rPr>
        <w:t xml:space="preserve"> wymogów granicznych podlega odrzuceniu bez dalszego rozpatrywania.</w:t>
      </w:r>
    </w:p>
    <w:p w:rsidR="0079779E" w:rsidRDefault="00C3486A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79779E" w:rsidRDefault="0079779E">
      <w:pPr>
        <w:rPr>
          <w:rFonts w:ascii="Arial" w:hAnsi="Arial" w:cs="Arial"/>
          <w:sz w:val="20"/>
          <w:szCs w:val="20"/>
        </w:rPr>
      </w:pPr>
    </w:p>
    <w:p w:rsidR="0079779E" w:rsidRDefault="00C3486A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79779E" w:rsidRDefault="00C348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79779E" w:rsidRDefault="00C3486A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</w:t>
      </w:r>
    </w:p>
    <w:sectPr w:rsidR="0079779E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9E"/>
    <w:rsid w:val="00146CDB"/>
    <w:rsid w:val="001C273C"/>
    <w:rsid w:val="003D3C6B"/>
    <w:rsid w:val="004046A8"/>
    <w:rsid w:val="004E1944"/>
    <w:rsid w:val="004E3CF7"/>
    <w:rsid w:val="0079779E"/>
    <w:rsid w:val="007F3D10"/>
    <w:rsid w:val="008061A0"/>
    <w:rsid w:val="008368C5"/>
    <w:rsid w:val="00A641C6"/>
    <w:rsid w:val="00B05FA1"/>
    <w:rsid w:val="00BC4E76"/>
    <w:rsid w:val="00C3486A"/>
    <w:rsid w:val="00C622BB"/>
    <w:rsid w:val="00D66BDA"/>
    <w:rsid w:val="00D9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AA48F-FA1B-4139-B387-3B9CD282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BB452E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qFormat/>
    <w:locked/>
    <w:rsid w:val="00BB452E"/>
    <w:rPr>
      <w:rFonts w:ascii="Cambria" w:hAnsi="Cambria" w:cs="Times New Roman"/>
      <w:color w:val="243F60"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qFormat/>
    <w:rsid w:val="008924A4"/>
    <w:rPr>
      <w:rFonts w:ascii="Times New Roman" w:hAnsi="Times New Roman"/>
      <w:sz w:val="0"/>
      <w:szCs w:val="0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customStyle="1" w:styleId="Gwkaistopka">
    <w:name w:val="Główka i stopka"/>
    <w:basedOn w:val="Normalny"/>
    <w:qFormat/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customStyle="1" w:styleId="western">
    <w:name w:val="western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qFormat/>
    <w:rsid w:val="00BB452E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qFormat/>
    <w:rsid w:val="00561F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3651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Marta MZ. Zapłotna</cp:lastModifiedBy>
  <cp:revision>4</cp:revision>
  <dcterms:created xsi:type="dcterms:W3CDTF">2025-05-21T09:10:00Z</dcterms:created>
  <dcterms:modified xsi:type="dcterms:W3CDTF">2025-05-21T09:15:00Z</dcterms:modified>
  <dc:language>pl-PL</dc:language>
</cp:coreProperties>
</file>