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</w:t>
      </w:r>
      <w:r w:rsidR="001F6CA5">
        <w:rPr>
          <w:rFonts w:cs="Arial"/>
        </w:rPr>
        <w:t>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337373">
        <w:rPr>
          <w:rFonts w:cs="Arial"/>
        </w:rPr>
        <w:t>17</w:t>
      </w:r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1F6CA5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</w:t>
      </w:r>
      <w:r w:rsidR="001F6CA5"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2 </w:t>
      </w:r>
      <w:r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– </w:t>
      </w:r>
      <w:r w:rsidR="001F6CA5" w:rsidRPr="001F6CA5">
        <w:rPr>
          <w:rFonts w:ascii="Calibri" w:hAnsi="Calibri" w:cs="Calibri"/>
          <w:b/>
          <w:sz w:val="22"/>
          <w:szCs w:val="22"/>
          <w:u w:val="single"/>
        </w:rPr>
        <w:t>Podgrzewacz do krwi i płynów infuzyjnych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:rsidTr="001F6CA5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 w:rsidTr="001F6CA5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:rsidTr="001F6CA5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:rsidTr="001F6CA5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 w:rsidTr="001F6CA5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F6CA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F6CA5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337373"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Suchy przepływowy podgrzewacz do krwi i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bezpiecznego stosowania do krwi i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stosowania standardowych przyrządów do przetoczeń krwi lub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Wymiennik ciepła w postaci dwóch niezależnie sterowanych, elastycznych profili grzewczych, o dł. 140 cm każdy, w których umieszcza się dreny infuzyjne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Wymiennik ciepła dostosowany do drenów infuzyjnych o średnicy 3,5 – 5,0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regulacji temperatury w zakresie od 33˚C do 41˚</w:t>
            </w:r>
            <w:proofErr w:type="gramStart"/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C (co</w:t>
            </w:r>
            <w:proofErr w:type="gramEnd"/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0,1˚) niezależnie dla każdego kanału grzewczego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Dokładność: ±1°C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Duży i czytelny wyświetlacz temperatury dla każdego z kanałów grzewczych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Wizualny i dźwiękowy alarm wysokiej temperatury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Wizualny i dźwiękowy sygnał niskiej temperatury przy 32 ±1°C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Wizualne i dźwiękowe ostrzeżenie o awarii czujnika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Podwójne zabezpieczenie przed przegrzaniem – automatyczny wyłącznik w przypadku przekroczenia temperatury 42±1˚C/43 ±2˚C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Sterowanie mikroprocesorowe – system autokontroli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Szybki czas nagrzewania: mniej niż 5 min od 20˚C do 36˚C</w:t>
            </w:r>
          </w:p>
          <w:p w:rsidR="001F6CA5" w:rsidRPr="001F6CA5" w:rsidRDefault="001F6CA5" w:rsidP="001F6CA5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F6CA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lastRenderedPageBreak/>
              <w:t>4-5 minut – 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3- &lt;4 minut – 10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2- &lt;3 minut – 20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Poniżej 2 minut – 30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Wydajność ogrzewania: min. 25 ml/min dla każdego kanału i min. 75 ml/min. w przypadku wykorzystania obu kanałów do podgrzania jednej infuzji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Waga do 3 kg</w:t>
            </w:r>
          </w:p>
          <w:p w:rsidR="001F6CA5" w:rsidRPr="001F6CA5" w:rsidRDefault="001F6CA5" w:rsidP="001F6CA5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F6CA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2,5 – 3 kg – 0 pkt</w:t>
            </w:r>
          </w:p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Poniżej 2,5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Możliwość zamocowania na stojakach do kroplówek o różnych średnicach za pomocą klamry montażowej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Wyświetlacz typu LED zawierający wskaźniki temperatury ustawionej, temperatury aktualnej, czasu nagrzewania, indykator ogrzewania, indykatory alarmów i sygnałów ostrzegawczych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Obsługa za pomocą przycisków </w:t>
            </w:r>
            <w:proofErr w:type="gramStart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membranowych – co</w:t>
            </w:r>
            <w:proofErr w:type="gramEnd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 najmniej przyciski regulacji temperatury góra/dół, przycisk aktywacji ogrzewania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Nie dopuszcza się sterowania za pomocą dotykowych wyświetlaczy LCD/OLED, ze względu na utrudnioną obsługę w rękawiczkach oraz ryzyko uszkodzenia mechanicznego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Możliwość pracy ciągłej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100-240 VAC / 50-60 </w:t>
            </w:r>
            <w:proofErr w:type="spellStart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Pobór mocy max 180VA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Maksymalne wymiary urządzenia: 200 x 130 x 250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Klasa zabezpieczenia elektrycznego I BF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Klasa ochrony min IPX2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Wbudowane złącze wyrównania potencjałów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B7606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100A1"/>
    <w:rsid w:val="00034F03"/>
    <w:rsid w:val="000A64C2"/>
    <w:rsid w:val="000B3538"/>
    <w:rsid w:val="001B18B2"/>
    <w:rsid w:val="001B29F0"/>
    <w:rsid w:val="001F6CA5"/>
    <w:rsid w:val="00295574"/>
    <w:rsid w:val="002C02B1"/>
    <w:rsid w:val="002C1484"/>
    <w:rsid w:val="00315C3C"/>
    <w:rsid w:val="00337373"/>
    <w:rsid w:val="00391508"/>
    <w:rsid w:val="003A55D6"/>
    <w:rsid w:val="003B0245"/>
    <w:rsid w:val="003F3501"/>
    <w:rsid w:val="004736F8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822078"/>
    <w:rsid w:val="008630B9"/>
    <w:rsid w:val="00886898"/>
    <w:rsid w:val="008B5721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2025-08-06T12:06:00Z</dcterms:created>
  <dcterms:modified xsi:type="dcterms:W3CDTF">2025-08-06T12:12:00Z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