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4C1" w:rsidRDefault="00554556">
      <w:pPr>
        <w:pStyle w:val="Nagwek2"/>
        <w:jc w:val="both"/>
        <w:rPr>
          <w:rFonts w:cs="Arial"/>
        </w:rPr>
      </w:pPr>
      <w:r>
        <w:rPr>
          <w:rFonts w:cs="Arial"/>
        </w:rPr>
        <w:t>Załącznik nr 2</w:t>
      </w:r>
      <w:r w:rsidR="00795453">
        <w:rPr>
          <w:rFonts w:cs="Arial"/>
        </w:rPr>
        <w:t>-</w:t>
      </w:r>
      <w:r w:rsidR="001F6CA5">
        <w:rPr>
          <w:rFonts w:cs="Arial"/>
        </w:rPr>
        <w:t>2</w:t>
      </w:r>
      <w:r>
        <w:rPr>
          <w:rFonts w:cs="Arial"/>
        </w:rPr>
        <w:t xml:space="preserve"> do </w:t>
      </w:r>
      <w:proofErr w:type="gramStart"/>
      <w:r>
        <w:rPr>
          <w:rFonts w:cs="Arial"/>
        </w:rPr>
        <w:t xml:space="preserve">SWZ                                                  </w:t>
      </w:r>
      <w:proofErr w:type="gramEnd"/>
      <w:r>
        <w:rPr>
          <w:rFonts w:cs="Arial"/>
        </w:rPr>
        <w:t xml:space="preserve">                ZOZ/DZP/PN/</w:t>
      </w:r>
      <w:r w:rsidR="00074CF6">
        <w:rPr>
          <w:rFonts w:cs="Arial"/>
        </w:rPr>
        <w:t>20</w:t>
      </w:r>
      <w:bookmarkStart w:id="0" w:name="_GoBack"/>
      <w:bookmarkEnd w:id="0"/>
      <w:r>
        <w:rPr>
          <w:rFonts w:cs="Arial"/>
        </w:rPr>
        <w:t>/2</w:t>
      </w:r>
      <w:r w:rsidR="00337373">
        <w:rPr>
          <w:rFonts w:cs="Arial"/>
        </w:rPr>
        <w:t>5</w:t>
      </w:r>
    </w:p>
    <w:p w:rsidR="00C414C1" w:rsidRDefault="00C414C1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414C1" w:rsidRDefault="00554556">
      <w:pPr>
        <w:pStyle w:val="Nagwek2"/>
        <w:rPr>
          <w:rFonts w:cs="Arial"/>
          <w:color w:val="auto"/>
        </w:rPr>
      </w:pPr>
      <w:r>
        <w:rPr>
          <w:rFonts w:cs="Arial"/>
          <w:color w:val="auto"/>
        </w:rPr>
        <w:t>ZESTAWIENIE WYMAGANYCH PARAMETRÓW TECHNICZNO – UŻYTKOWYCH</w:t>
      </w:r>
    </w:p>
    <w:p w:rsidR="00C414C1" w:rsidRDefault="0055455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</w:t>
      </w:r>
    </w:p>
    <w:p w:rsidR="00B92C1C" w:rsidRDefault="00B92C1C" w:rsidP="00B92C1C">
      <w:pPr>
        <w:widowControl w:val="0"/>
        <w:jc w:val="center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B92C1C" w:rsidRPr="001F6CA5" w:rsidRDefault="00B92C1C" w:rsidP="00B92C1C">
      <w:pPr>
        <w:widowControl w:val="0"/>
        <w:rPr>
          <w:rFonts w:ascii="Calibri" w:eastAsia="Arial Unicode MS" w:hAnsi="Calibri" w:cs="Calibri"/>
          <w:b/>
          <w:sz w:val="22"/>
          <w:szCs w:val="22"/>
          <w:u w:val="single"/>
          <w:lang w:eastAsia="ar-SA"/>
        </w:rPr>
      </w:pPr>
      <w:r w:rsidRPr="001F6CA5">
        <w:rPr>
          <w:rFonts w:ascii="Calibri" w:eastAsia="Arial Unicode MS" w:hAnsi="Calibri" w:cs="Calibri"/>
          <w:b/>
          <w:sz w:val="22"/>
          <w:szCs w:val="22"/>
          <w:u w:val="single"/>
          <w:lang w:eastAsia="ar-SA"/>
        </w:rPr>
        <w:t xml:space="preserve">Zadanie nr </w:t>
      </w:r>
      <w:r w:rsidR="001F6CA5" w:rsidRPr="001F6CA5">
        <w:rPr>
          <w:rFonts w:ascii="Calibri" w:eastAsia="Arial Unicode MS" w:hAnsi="Calibri" w:cs="Calibri"/>
          <w:b/>
          <w:sz w:val="22"/>
          <w:szCs w:val="22"/>
          <w:u w:val="single"/>
          <w:lang w:eastAsia="ar-SA"/>
        </w:rPr>
        <w:t xml:space="preserve">2 </w:t>
      </w:r>
      <w:r w:rsidRPr="001F6CA5">
        <w:rPr>
          <w:rFonts w:ascii="Calibri" w:eastAsia="Arial Unicode MS" w:hAnsi="Calibri" w:cs="Calibri"/>
          <w:b/>
          <w:sz w:val="22"/>
          <w:szCs w:val="22"/>
          <w:u w:val="single"/>
          <w:lang w:eastAsia="ar-SA"/>
        </w:rPr>
        <w:t xml:space="preserve">– </w:t>
      </w:r>
      <w:r w:rsidR="001F6CA5" w:rsidRPr="001F6CA5">
        <w:rPr>
          <w:rFonts w:ascii="Calibri" w:hAnsi="Calibri" w:cs="Calibri"/>
          <w:b/>
          <w:sz w:val="22"/>
          <w:szCs w:val="22"/>
          <w:u w:val="single"/>
        </w:rPr>
        <w:t>Podgrzewacz do krwi i płynów infuzyjnych</w:t>
      </w:r>
    </w:p>
    <w:p w:rsidR="00C414C1" w:rsidRDefault="00C414C1">
      <w:pPr>
        <w:tabs>
          <w:tab w:val="left" w:pos="4080"/>
        </w:tabs>
        <w:jc w:val="center"/>
        <w:rPr>
          <w:rStyle w:val="Domylnaczcionkaakapitu1"/>
          <w:b/>
        </w:rPr>
      </w:pPr>
    </w:p>
    <w:p w:rsidR="00C414C1" w:rsidRDefault="00C414C1">
      <w:pPr>
        <w:rPr>
          <w:b/>
          <w:sz w:val="18"/>
          <w:szCs w:val="18"/>
        </w:rPr>
      </w:pPr>
    </w:p>
    <w:tbl>
      <w:tblPr>
        <w:tblW w:w="1105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5384"/>
        <w:gridCol w:w="1562"/>
        <w:gridCol w:w="3400"/>
      </w:tblGrid>
      <w:tr w:rsidR="00C414C1" w:rsidTr="001F6CA5">
        <w:trPr>
          <w:trHeight w:val="44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414C1" w:rsidTr="001F6CA5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414C1" w:rsidTr="001F6CA5">
        <w:trPr>
          <w:trHeight w:val="90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  <w:p w:rsidR="00C414C1" w:rsidRDefault="00C414C1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C414C1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Zawartotabeli"/>
              <w:jc w:val="center"/>
              <w:rPr>
                <w:rFonts w:cs="Arial"/>
                <w:b/>
                <w:bCs/>
                <w:szCs w:val="22"/>
              </w:rPr>
            </w:pPr>
            <w:r>
              <w:rPr>
                <w:rFonts w:cs="Arial"/>
                <w:b/>
                <w:bCs/>
                <w:szCs w:val="22"/>
              </w:rPr>
              <w:t>Wartość wymagana</w:t>
            </w:r>
          </w:p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C414C1" w:rsidTr="001F6CA5">
        <w:trPr>
          <w:trHeight w:val="35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2157F">
              <w:rPr>
                <w:rFonts w:asciiTheme="minorHAnsi" w:hAnsiTheme="minorHAnsi"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4</w:t>
            </w:r>
          </w:p>
        </w:tc>
      </w:tr>
      <w:tr w:rsidR="00C414C1" w:rsidTr="001F6CA5">
        <w:trPr>
          <w:trHeight w:val="53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Akapitzlist"/>
              <w:widowControl w:val="0"/>
              <w:ind w:left="1080" w:hanging="108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WYMAGANIA OGÓLNE</w:t>
            </w:r>
          </w:p>
        </w:tc>
      </w:tr>
      <w:tr w:rsidR="00C414C1" w:rsidTr="001F6CA5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1F6CA5" w:rsidRDefault="00B92C1C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Sprzęt</w:t>
            </w:r>
            <w:r w:rsidR="00FF42CA" w:rsidRPr="001F6CA5">
              <w:rPr>
                <w:rFonts w:ascii="Calibri" w:hAnsi="Calibri" w:cs="Calibri"/>
                <w:sz w:val="22"/>
                <w:szCs w:val="22"/>
              </w:rPr>
              <w:t xml:space="preserve"> nowy, </w:t>
            </w:r>
            <w:r w:rsidR="00554556" w:rsidRPr="001F6CA5">
              <w:rPr>
                <w:rFonts w:ascii="Calibri" w:hAnsi="Calibri" w:cs="Calibri"/>
                <w:sz w:val="22"/>
                <w:szCs w:val="22"/>
              </w:rPr>
              <w:t xml:space="preserve">nieużywany, nie </w:t>
            </w:r>
            <w:proofErr w:type="spellStart"/>
            <w:r w:rsidR="00554556" w:rsidRPr="001F6CA5">
              <w:rPr>
                <w:rFonts w:ascii="Calibri" w:hAnsi="Calibri" w:cs="Calibri"/>
                <w:sz w:val="22"/>
                <w:szCs w:val="22"/>
              </w:rPr>
              <w:t>rekondycjonowany</w:t>
            </w:r>
            <w:proofErr w:type="spellEnd"/>
            <w:r w:rsidR="00554556" w:rsidRPr="001F6CA5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="00FF42CA" w:rsidRPr="001F6CA5">
              <w:rPr>
                <w:rFonts w:ascii="Calibri" w:hAnsi="Calibri" w:cs="Calibri"/>
                <w:sz w:val="22"/>
                <w:szCs w:val="22"/>
              </w:rPr>
              <w:t xml:space="preserve">nie demonstracyjny, </w:t>
            </w:r>
            <w:r w:rsidR="00554556" w:rsidRPr="001F6CA5">
              <w:rPr>
                <w:rFonts w:ascii="Calibri" w:hAnsi="Calibri" w:cs="Calibri"/>
                <w:sz w:val="22"/>
                <w:szCs w:val="22"/>
              </w:rPr>
              <w:t>w najnowszej wersji sprzętowej i oprogramowania na dzień składania oferty.</w:t>
            </w:r>
          </w:p>
          <w:p w:rsidR="00D949B0" w:rsidRPr="001F6CA5" w:rsidRDefault="00FF42CA" w:rsidP="00337373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F6CA5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Rok produkcji nie starszy niż 202</w:t>
            </w:r>
            <w:r w:rsidR="00337373" w:rsidRPr="001F6CA5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5</w:t>
            </w:r>
            <w:r w:rsidRPr="001F6CA5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rok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1F6CA5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1F6CA5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F6CA5" w:rsidTr="001F6CA5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6CA5" w:rsidRDefault="001F6CA5" w:rsidP="001F6CA5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CA5" w:rsidRPr="001F6CA5" w:rsidRDefault="001F6CA5" w:rsidP="001F6CA5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1F6CA5">
              <w:rPr>
                <w:rFonts w:ascii="Calibri" w:hAnsi="Calibri" w:cs="Calibri"/>
                <w:sz w:val="22"/>
                <w:szCs w:val="22"/>
                <w:lang w:eastAsia="en-US"/>
              </w:rPr>
              <w:t>Suchy przepływowy podgrzewacz do krwi i płynów infuzyjnych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F6CA5" w:rsidTr="001F6CA5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6CA5" w:rsidRDefault="001F6CA5" w:rsidP="001F6CA5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CA5" w:rsidRPr="001F6CA5" w:rsidRDefault="001F6CA5" w:rsidP="001F6CA5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1F6CA5">
              <w:rPr>
                <w:rFonts w:ascii="Calibri" w:hAnsi="Calibri" w:cs="Calibri"/>
                <w:sz w:val="22"/>
                <w:szCs w:val="22"/>
                <w:lang w:eastAsia="en-US"/>
              </w:rPr>
              <w:t>Możliwość bezpiecznego stosowania do krwi i płynów infuzyjnych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F6CA5" w:rsidTr="001F6CA5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6CA5" w:rsidRDefault="001F6CA5" w:rsidP="001F6CA5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CA5" w:rsidRPr="001F6CA5" w:rsidRDefault="001F6CA5" w:rsidP="001F6CA5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1F6CA5">
              <w:rPr>
                <w:rFonts w:ascii="Calibri" w:hAnsi="Calibri" w:cs="Calibri"/>
                <w:sz w:val="22"/>
                <w:szCs w:val="22"/>
                <w:lang w:eastAsia="en-US"/>
              </w:rPr>
              <w:t>Możliwość stosowania standardowych przyrządów do przetoczeń krwi lub płynów infuzyjnych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1F6CA5" w:rsidTr="001F6CA5">
        <w:trPr>
          <w:trHeight w:val="187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Default="001F6CA5" w:rsidP="001F6CA5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1F6CA5">
              <w:rPr>
                <w:rFonts w:ascii="Calibri" w:hAnsi="Calibri" w:cs="Calibri"/>
                <w:sz w:val="22"/>
                <w:szCs w:val="22"/>
                <w:lang w:eastAsia="en-US"/>
              </w:rPr>
              <w:t>Wymiennik ciepła w postaci dwóch niezależnie sterowanych, elastycznych profili grzewczych, o dł. 140 cm każdy, w których umieszcza się dreny infuzyjne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F6CA5" w:rsidTr="001F6CA5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Default="001F6CA5" w:rsidP="001F6CA5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1F6CA5">
              <w:rPr>
                <w:rFonts w:ascii="Calibri" w:hAnsi="Calibri" w:cs="Calibri"/>
                <w:sz w:val="22"/>
                <w:szCs w:val="22"/>
                <w:lang w:eastAsia="en-US"/>
              </w:rPr>
              <w:t>Wymiennik ciepła dostosowany do drenów infuzyjnych o średnicy 3,5 – 5,0 mm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F6CA5" w:rsidTr="001F6CA5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Default="001F6CA5" w:rsidP="001F6CA5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1F6CA5">
              <w:rPr>
                <w:rFonts w:ascii="Calibri" w:hAnsi="Calibri" w:cs="Calibri"/>
                <w:sz w:val="22"/>
                <w:szCs w:val="22"/>
                <w:lang w:eastAsia="en-US"/>
              </w:rPr>
              <w:t>Możliwość regulacji temperatury w zakresie od 33˚C do 41˚</w:t>
            </w:r>
            <w:proofErr w:type="gramStart"/>
            <w:r w:rsidRPr="001F6CA5">
              <w:rPr>
                <w:rFonts w:ascii="Calibri" w:hAnsi="Calibri" w:cs="Calibri"/>
                <w:sz w:val="22"/>
                <w:szCs w:val="22"/>
                <w:lang w:eastAsia="en-US"/>
              </w:rPr>
              <w:t>C (co</w:t>
            </w:r>
            <w:proofErr w:type="gramEnd"/>
            <w:r w:rsidRPr="001F6CA5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0,1˚) niezależnie dla każdego kanału grzewczego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1F6CA5" w:rsidTr="001F6CA5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Default="001F6CA5" w:rsidP="001F6CA5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1F6CA5">
              <w:rPr>
                <w:rFonts w:ascii="Calibri" w:hAnsi="Calibri" w:cs="Calibri"/>
                <w:sz w:val="22"/>
                <w:szCs w:val="22"/>
                <w:lang w:eastAsia="en-US"/>
              </w:rPr>
              <w:t>Dokładność: ±1°C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1F6CA5" w:rsidTr="001F6CA5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Default="001F6CA5" w:rsidP="001F6CA5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1F6CA5">
              <w:rPr>
                <w:rFonts w:ascii="Calibri" w:hAnsi="Calibri" w:cs="Calibri"/>
                <w:sz w:val="22"/>
                <w:szCs w:val="22"/>
                <w:lang w:eastAsia="en-US"/>
              </w:rPr>
              <w:t>Duży i czytelny wyświetlacz temperatury dla każdego z kanałów grzewczych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1F6CA5" w:rsidTr="001F6CA5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Default="001F6CA5" w:rsidP="001F6CA5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CA5" w:rsidRPr="001F6CA5" w:rsidRDefault="001F6CA5" w:rsidP="001F6CA5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1F6CA5">
              <w:rPr>
                <w:rFonts w:ascii="Calibri" w:hAnsi="Calibri" w:cs="Calibri"/>
                <w:sz w:val="22"/>
                <w:szCs w:val="22"/>
                <w:lang w:eastAsia="en-US"/>
              </w:rPr>
              <w:t>Wizualny i dźwiękowy alarm wysokiej temperatury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 xml:space="preserve">Tak/podać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F6CA5" w:rsidTr="001F6CA5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Default="001F6CA5" w:rsidP="001F6CA5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CA5" w:rsidRPr="001F6CA5" w:rsidRDefault="001F6CA5" w:rsidP="001F6CA5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1F6CA5">
              <w:rPr>
                <w:rFonts w:ascii="Calibri" w:hAnsi="Calibri" w:cs="Calibri"/>
                <w:sz w:val="22"/>
                <w:szCs w:val="22"/>
                <w:lang w:eastAsia="en-US"/>
              </w:rPr>
              <w:t>Wizualny i dźwiękowy sygnał niskiej temperatury przy 32 ±1°C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</w:p>
        </w:tc>
      </w:tr>
      <w:tr w:rsidR="001F6CA5" w:rsidTr="001F6CA5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Default="001F6CA5" w:rsidP="001F6CA5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CA5" w:rsidRPr="001F6CA5" w:rsidRDefault="001F6CA5" w:rsidP="001F6CA5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1F6CA5">
              <w:rPr>
                <w:rFonts w:ascii="Calibri" w:hAnsi="Calibri" w:cs="Calibri"/>
                <w:sz w:val="22"/>
                <w:szCs w:val="22"/>
                <w:lang w:eastAsia="en-US"/>
              </w:rPr>
              <w:t>Wizualne i dźwiękowe ostrzeżenie o awarii czujnika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</w:p>
        </w:tc>
      </w:tr>
      <w:tr w:rsidR="001F6CA5" w:rsidTr="001F6CA5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6CA5" w:rsidRDefault="001F6CA5" w:rsidP="001F6CA5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CA5" w:rsidRPr="001F6CA5" w:rsidRDefault="001F6CA5" w:rsidP="001F6CA5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1F6CA5">
              <w:rPr>
                <w:rFonts w:ascii="Calibri" w:hAnsi="Calibri" w:cs="Calibri"/>
                <w:sz w:val="22"/>
                <w:szCs w:val="22"/>
                <w:lang w:eastAsia="en-US"/>
              </w:rPr>
              <w:t>Podwójne zabezpieczenie przed przegrzaniem – automatyczny wyłącznik w przypadku przekroczenia temperatury 42±1˚C/43 ±2˚C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6CA5" w:rsidRPr="001F6CA5" w:rsidRDefault="001F6CA5" w:rsidP="001F6CA5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F6CA5" w:rsidTr="001F6CA5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6CA5" w:rsidRDefault="001F6CA5" w:rsidP="001F6CA5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CA5" w:rsidRPr="001F6CA5" w:rsidRDefault="001F6CA5" w:rsidP="001F6CA5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1F6CA5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Sterowanie mikroprocesorowe – system autokontroli 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6CA5" w:rsidRPr="001F6CA5" w:rsidRDefault="001F6CA5" w:rsidP="001F6CA5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F6CA5" w:rsidTr="001F6CA5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F6CA5" w:rsidRDefault="001F6CA5" w:rsidP="001F6CA5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F6CA5" w:rsidRPr="001F6CA5" w:rsidRDefault="001F6CA5" w:rsidP="001F6CA5">
            <w:pPr>
              <w:pStyle w:val="Default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Szybki czas nagrzewania: mniej niż 5 min od 20˚C do 36˚C</w:t>
            </w:r>
          </w:p>
          <w:p w:rsidR="001F6CA5" w:rsidRPr="001F6CA5" w:rsidRDefault="001F6CA5" w:rsidP="001F6CA5">
            <w:pPr>
              <w:pStyle w:val="Bezodstpw"/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1F6CA5"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Zasada oceny punktowej:</w:t>
            </w:r>
          </w:p>
          <w:p w:rsidR="001F6CA5" w:rsidRPr="001F6CA5" w:rsidRDefault="001F6CA5" w:rsidP="001F6CA5">
            <w:pPr>
              <w:pStyle w:val="Default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lastRenderedPageBreak/>
              <w:t>4-5 minut – 0 pkt</w:t>
            </w:r>
          </w:p>
          <w:p w:rsidR="001F6CA5" w:rsidRPr="001F6CA5" w:rsidRDefault="001F6CA5" w:rsidP="001F6CA5">
            <w:pPr>
              <w:pStyle w:val="Default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3- &lt;4 minut – 10 pkt</w:t>
            </w:r>
          </w:p>
          <w:p w:rsidR="001F6CA5" w:rsidRPr="001F6CA5" w:rsidRDefault="001F6CA5" w:rsidP="001F6CA5">
            <w:pPr>
              <w:pStyle w:val="Default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2- &lt;3 minut – 20 pkt</w:t>
            </w:r>
          </w:p>
          <w:p w:rsidR="001F6CA5" w:rsidRPr="001F6CA5" w:rsidRDefault="001F6CA5" w:rsidP="001F6CA5">
            <w:pPr>
              <w:pStyle w:val="Default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Poniżej 2 minut – 30 pkt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lastRenderedPageBreak/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F6CA5" w:rsidTr="001F6CA5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Default="001F6CA5" w:rsidP="001F6CA5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CA5" w:rsidRPr="001F6CA5" w:rsidRDefault="001F6CA5" w:rsidP="001F6CA5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1F6CA5">
              <w:rPr>
                <w:rFonts w:ascii="Calibri" w:hAnsi="Calibri" w:cs="Calibri"/>
                <w:sz w:val="22"/>
                <w:szCs w:val="22"/>
                <w:lang w:eastAsia="en-US"/>
              </w:rPr>
              <w:t>Wydajność ogrzewania: min. 25 ml/min dla każdego kanału i min. 75 ml/min. w przypadku wykorzystania obu kanałów do podgrzania jednej infuzji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F6CA5" w:rsidTr="001F6CA5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F6CA5" w:rsidRDefault="001F6CA5" w:rsidP="001F6CA5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F6CA5" w:rsidRPr="001F6CA5" w:rsidRDefault="001F6CA5" w:rsidP="001F6CA5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1F6CA5">
              <w:rPr>
                <w:rFonts w:ascii="Calibri" w:hAnsi="Calibri" w:cs="Calibri"/>
                <w:sz w:val="22"/>
                <w:szCs w:val="22"/>
                <w:lang w:eastAsia="en-US"/>
              </w:rPr>
              <w:t>Waga do 3 kg</w:t>
            </w:r>
          </w:p>
          <w:p w:rsidR="001F6CA5" w:rsidRPr="001F6CA5" w:rsidRDefault="001F6CA5" w:rsidP="001F6CA5">
            <w:pPr>
              <w:pStyle w:val="Bezodstpw"/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1F6CA5"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Zasada oceny punktowej:</w:t>
            </w:r>
          </w:p>
          <w:p w:rsidR="001F6CA5" w:rsidRPr="001F6CA5" w:rsidRDefault="001F6CA5" w:rsidP="001F6CA5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1F6CA5">
              <w:rPr>
                <w:rFonts w:ascii="Calibri" w:hAnsi="Calibri" w:cs="Calibri"/>
                <w:sz w:val="22"/>
                <w:szCs w:val="22"/>
                <w:lang w:eastAsia="en-US"/>
              </w:rPr>
              <w:t>2,5 – 3 kg – 0 pkt</w:t>
            </w:r>
          </w:p>
          <w:p w:rsidR="001F6CA5" w:rsidRPr="001F6CA5" w:rsidRDefault="001F6CA5" w:rsidP="001F6CA5">
            <w:pPr>
              <w:spacing w:line="276" w:lineRule="auto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1F6CA5">
              <w:rPr>
                <w:rFonts w:ascii="Calibri" w:hAnsi="Calibri" w:cs="Calibri"/>
                <w:sz w:val="22"/>
                <w:szCs w:val="22"/>
                <w:lang w:eastAsia="en-US"/>
              </w:rPr>
              <w:t>Poniżej 2,5 – 10 pkt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F6CA5" w:rsidTr="001F6CA5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Default="001F6CA5" w:rsidP="001F6CA5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CA5" w:rsidRPr="001F6CA5" w:rsidRDefault="001F6CA5" w:rsidP="001F6CA5">
            <w:pPr>
              <w:spacing w:line="276" w:lineRule="auto"/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  <w:r w:rsidRPr="001F6CA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Możliwość zamocowania na stojakach do kroplówek o różnych średnicach za pomocą klamry montażowej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F6CA5" w:rsidTr="001F6CA5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Default="001F6CA5" w:rsidP="001F6CA5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CA5" w:rsidRPr="001F6CA5" w:rsidRDefault="001F6CA5" w:rsidP="001F6CA5">
            <w:pPr>
              <w:spacing w:line="276" w:lineRule="auto"/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  <w:r w:rsidRPr="001F6CA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Wyświetlacz typu LED zawierający wskaźniki temperatury ustawionej, temperatury aktualnej, czasu nagrzewania, indykator ogrzewania, indykatory alarmów i sygnałów ostrzegawczych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F6CA5" w:rsidTr="001F6CA5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Default="001F6CA5" w:rsidP="001F6CA5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CA5" w:rsidRPr="001F6CA5" w:rsidRDefault="001F6CA5" w:rsidP="001F6CA5">
            <w:pPr>
              <w:spacing w:line="276" w:lineRule="auto"/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  <w:r w:rsidRPr="001F6CA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 xml:space="preserve">Obsługa za pomocą przycisków </w:t>
            </w:r>
            <w:proofErr w:type="gramStart"/>
            <w:r w:rsidRPr="001F6CA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membranowych – co</w:t>
            </w:r>
            <w:proofErr w:type="gramEnd"/>
            <w:r w:rsidRPr="001F6CA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 xml:space="preserve"> najmniej przyciski regulacji temperatury góra/dół, przycisk aktywacji ogrzewania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F6CA5" w:rsidTr="001F6CA5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Default="001F6CA5" w:rsidP="001F6CA5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spacing w:line="276" w:lineRule="auto"/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  <w:r w:rsidRPr="001F6CA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Nie dopuszcza się sterowania za pomocą dotykowych wyświetlaczy LCD/OLED, ze względu na utrudnioną obsługę w rękawiczkach oraz ryzyko uszkodzenia mechanicznego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F6CA5" w:rsidTr="001F6CA5">
        <w:trPr>
          <w:trHeight w:val="314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Default="001F6CA5" w:rsidP="001F6CA5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spacing w:line="276" w:lineRule="auto"/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  <w:r w:rsidRPr="001F6CA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Możliwość pracy ciągłej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</w:p>
          <w:p w:rsidR="001F6CA5" w:rsidRPr="001F6CA5" w:rsidRDefault="001F6CA5" w:rsidP="001F6CA5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F6CA5" w:rsidTr="001F6CA5">
        <w:trPr>
          <w:trHeight w:val="45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Default="001F6CA5" w:rsidP="001F6CA5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CA5" w:rsidRPr="001F6CA5" w:rsidRDefault="001F6CA5" w:rsidP="001F6CA5">
            <w:pPr>
              <w:spacing w:line="276" w:lineRule="auto"/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  <w:r w:rsidRPr="001F6CA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 xml:space="preserve">100-240 VAC / 50-60 </w:t>
            </w:r>
            <w:proofErr w:type="spellStart"/>
            <w:r w:rsidRPr="001F6CA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Hz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1F6CA5" w:rsidRPr="001F6CA5" w:rsidRDefault="001F6CA5" w:rsidP="001F6CA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F6CA5" w:rsidTr="001F6CA5">
        <w:trPr>
          <w:trHeight w:val="45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Default="001F6CA5" w:rsidP="001F6CA5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CA5" w:rsidRPr="001F6CA5" w:rsidRDefault="001F6CA5" w:rsidP="001F6CA5">
            <w:pPr>
              <w:spacing w:line="276" w:lineRule="auto"/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  <w:r w:rsidRPr="001F6CA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Pobór mocy max 180VA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F6CA5" w:rsidTr="001F6CA5">
        <w:trPr>
          <w:trHeight w:val="45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Default="001F6CA5" w:rsidP="001F6CA5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CA5" w:rsidRPr="001F6CA5" w:rsidRDefault="001F6CA5" w:rsidP="001F6CA5">
            <w:pPr>
              <w:spacing w:line="276" w:lineRule="auto"/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  <w:r w:rsidRPr="001F6CA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Maksymalne wymiary urządzenia: 200 x 130 x 250 mm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F6CA5" w:rsidTr="001F6CA5">
        <w:trPr>
          <w:trHeight w:val="45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Default="001F6CA5" w:rsidP="001F6CA5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CA5" w:rsidRPr="001F6CA5" w:rsidRDefault="001F6CA5" w:rsidP="001F6CA5">
            <w:pPr>
              <w:spacing w:line="276" w:lineRule="auto"/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  <w:r w:rsidRPr="001F6CA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Klasa zabezpieczenia elektrycznego I BF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F6CA5" w:rsidTr="001F6CA5">
        <w:trPr>
          <w:trHeight w:val="45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Default="001F6CA5" w:rsidP="001F6CA5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CA5" w:rsidRPr="001F6CA5" w:rsidRDefault="001F6CA5" w:rsidP="001F6CA5">
            <w:pPr>
              <w:spacing w:line="276" w:lineRule="auto"/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  <w:r w:rsidRPr="001F6CA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Klasa ochrony min IPX2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F6CA5" w:rsidTr="001F6CA5">
        <w:trPr>
          <w:trHeight w:val="45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Default="001F6CA5" w:rsidP="001F6CA5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CA5" w:rsidRPr="001F6CA5" w:rsidRDefault="001F6CA5" w:rsidP="001F6CA5">
            <w:pPr>
              <w:spacing w:line="276" w:lineRule="auto"/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  <w:r w:rsidRPr="001F6CA5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Wbudowane złącze wyrównania potencjałów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F6CA5" w:rsidRPr="001F6CA5" w:rsidRDefault="001F6CA5" w:rsidP="001F6CA5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C414C1" w:rsidRDefault="00C414C1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tbl>
      <w:tblPr>
        <w:tblW w:w="11058" w:type="dxa"/>
        <w:tblInd w:w="-1008" w:type="dxa"/>
        <w:tblLayout w:type="fixed"/>
        <w:tblLook w:val="04A0" w:firstRow="1" w:lastRow="0" w:firstColumn="1" w:lastColumn="0" w:noHBand="0" w:noVBand="1"/>
      </w:tblPr>
      <w:tblGrid>
        <w:gridCol w:w="567"/>
        <w:gridCol w:w="6077"/>
        <w:gridCol w:w="1419"/>
        <w:gridCol w:w="2995"/>
      </w:tblGrid>
      <w:tr w:rsidR="00C414C1">
        <w:trPr>
          <w:trHeight w:val="648"/>
        </w:trPr>
        <w:tc>
          <w:tcPr>
            <w:tcW w:w="11058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shd w:val="clear" w:color="auto" w:fill="D5DCE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WARUNKI GWARANCJI I SERWISU</w:t>
            </w:r>
          </w:p>
        </w:tc>
      </w:tr>
      <w:tr w:rsidR="00C414C1">
        <w:trPr>
          <w:trHeight w:val="69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B7606" w:rsidRDefault="00295574" w:rsidP="00BB7606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Gwarancja min. </w:t>
            </w:r>
            <w:r w:rsidR="008630B9">
              <w:rPr>
                <w:rFonts w:ascii="Calibri" w:hAnsi="Calibri" w:cs="Calibri"/>
                <w:sz w:val="22"/>
                <w:szCs w:val="22"/>
              </w:rPr>
              <w:t>24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m-</w:t>
            </w:r>
            <w:proofErr w:type="spellStart"/>
            <w:r w:rsidRPr="00295574">
              <w:rPr>
                <w:rFonts w:ascii="Calibri" w:hAnsi="Calibri" w:cs="Calibri"/>
                <w:sz w:val="22"/>
                <w:szCs w:val="22"/>
              </w:rPr>
              <w:t>cy</w:t>
            </w:r>
            <w:proofErr w:type="spellEnd"/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Czas reakcji liczony od przyjęcia zgłoszenia do momentu podjęcia naprawy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– 48 godzin w dni robocze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8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554556" w:rsidP="00295574">
            <w:pPr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 xml:space="preserve">Maksymalny czas niezbędny na usunięcie awarii od czasu zdiagnozowania awarii: </w:t>
            </w:r>
          </w:p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bez użycia części zamiennych - 3 dni 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z użyciem części zamiennych – 5 dni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4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Przedłużenie okresu gwarancji o każdy dzień trwania naprawy gwarancyjnej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 w:rsidP="00295574">
            <w:pPr>
              <w:widowControl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Liczba napraw powodująca wymianę podzespołu na nowy w okresie gwarancji –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gwarancyjny autoryzowany przez producenta aparatu. Na terenie Polski. Podać dane kontaktowe z serwisem.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295574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W przypadku awarii w okresie gwarancji koszt przyjazdu, dostawy pokrywa Wykonawca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Okres zagwarantowania dostępności części zamiennych od daty podpisania protokołu odbioru - 10 lat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pogwarancyjny przez okres, co najmniej 8 lat od daty podpisania protokołu odbioru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Paszport techniczny, instrukcje obsługi w języku polskim dostarczona w wersji papierowej.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:rsidR="000A64C2" w:rsidRPr="000A64C2" w:rsidRDefault="000A64C2" w:rsidP="000A64C2">
      <w:pPr>
        <w:pStyle w:val="Tekstpodstawowy"/>
      </w:pPr>
    </w:p>
    <w:p w:rsidR="00C414C1" w:rsidRDefault="00554556" w:rsidP="00BB7606">
      <w:pPr>
        <w:pStyle w:val="Nagwek"/>
        <w:numPr>
          <w:ilvl w:val="0"/>
          <w:numId w:val="2"/>
        </w:numPr>
        <w:jc w:val="both"/>
      </w:pPr>
      <w:r>
        <w:rPr>
          <w:rFonts w:ascii="Calibri" w:hAnsi="Calibri" w:cs="Calibri"/>
          <w:bCs/>
          <w:sz w:val="22"/>
          <w:szCs w:val="22"/>
        </w:rPr>
        <w:t xml:space="preserve">Zapis w kolumnie 3. „TAK” należy traktować, jako wymóg graniczny (wymagany), którego </w:t>
      </w:r>
      <w:r>
        <w:rPr>
          <w:rFonts w:ascii="Calibri" w:hAnsi="Calibri" w:cs="Calibri"/>
          <w:sz w:val="22"/>
          <w:szCs w:val="22"/>
        </w:rPr>
        <w:t>niespełnienie skutkować będzie odrzuceniem oferty, jako</w:t>
      </w:r>
      <w:r>
        <w:rPr>
          <w:rFonts w:ascii="Calibri" w:hAnsi="Calibri" w:cs="Calibri"/>
          <w:bCs/>
          <w:sz w:val="22"/>
          <w:szCs w:val="22"/>
        </w:rPr>
        <w:t xml:space="preserve"> niezgodnej ze SWZ.</w:t>
      </w:r>
    </w:p>
    <w:p w:rsidR="00C414C1" w:rsidRDefault="00554556" w:rsidP="00BB7606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>Niespełnienie któregokolwiek z wymaganych powyżej parametrów techniczno-użytkowych oraz wymagań, co do ich wartości minimalnych spowoduje odrzucenie oferty bez dalszej jej oceny.</w:t>
      </w:r>
    </w:p>
    <w:p w:rsidR="00C414C1" w:rsidRDefault="00554556" w:rsidP="00BB7606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 xml:space="preserve">Brak opisu w kolumnie 4. </w:t>
      </w:r>
      <w:proofErr w:type="gramStart"/>
      <w:r>
        <w:rPr>
          <w:rFonts w:ascii="Calibri" w:eastAsia="Batang" w:hAnsi="Calibri" w:cs="Calibri"/>
          <w:color w:val="000000"/>
          <w:sz w:val="22"/>
          <w:szCs w:val="22"/>
        </w:rPr>
        <w:t>traktowany</w:t>
      </w:r>
      <w:proofErr w:type="gramEnd"/>
      <w:r>
        <w:rPr>
          <w:rFonts w:ascii="Calibri" w:eastAsia="Batang" w:hAnsi="Calibri" w:cs="Calibri"/>
          <w:color w:val="000000"/>
          <w:sz w:val="22"/>
          <w:szCs w:val="22"/>
        </w:rPr>
        <w:t xml:space="preserve"> będzie, jako brak danego parametru.</w:t>
      </w:r>
    </w:p>
    <w:p w:rsidR="00C414C1" w:rsidRDefault="00554556" w:rsidP="00BB7606">
      <w:pPr>
        <w:pStyle w:val="Nagwek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zastrzega sobie prawo sprawdzenia podanych przez wykonawcę parametrów w dostępnych materiałach technicznych lub u producenta w przypadku powstania wątpliwości, co do ich prawdziwości.</w:t>
      </w:r>
    </w:p>
    <w:p w:rsidR="00C414C1" w:rsidRDefault="00C414C1">
      <w:pPr>
        <w:jc w:val="both"/>
        <w:rPr>
          <w:rFonts w:ascii="Calibri" w:hAnsi="Calibri" w:cs="Calibri"/>
          <w:b/>
          <w:sz w:val="22"/>
          <w:szCs w:val="22"/>
        </w:rPr>
      </w:pPr>
    </w:p>
    <w:p w:rsidR="00C414C1" w:rsidRDefault="00554556">
      <w:pPr>
        <w:jc w:val="both"/>
      </w:pPr>
      <w:r>
        <w:rPr>
          <w:rFonts w:ascii="Calibri" w:hAnsi="Calibri" w:cs="Calibri"/>
          <w:sz w:val="22"/>
          <w:szCs w:val="22"/>
        </w:rPr>
        <w:t>Niniejszym oświadczam/y</w:t>
      </w:r>
      <w:r>
        <w:rPr>
          <w:rFonts w:ascii="Calibri" w:hAnsi="Calibri" w:cs="Calibri"/>
          <w:bCs/>
          <w:sz w:val="22"/>
          <w:szCs w:val="22"/>
        </w:rPr>
        <w:t>, że przedstawione powyżej dane są prawdziwe oraz zobowiązuję/</w:t>
      </w:r>
      <w:proofErr w:type="spellStart"/>
      <w:r>
        <w:rPr>
          <w:rFonts w:ascii="Calibri" w:hAnsi="Calibri" w:cs="Calibri"/>
          <w:bCs/>
          <w:sz w:val="22"/>
          <w:szCs w:val="22"/>
        </w:rPr>
        <w:t>emy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się, w przypadku wygrania przetargu, do dostarczenia sprzętu spełniającego wyspecyfikowane parametry.</w:t>
      </w:r>
    </w:p>
    <w:p w:rsidR="00C414C1" w:rsidRDefault="0055455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Oświadczam/y, iż wyspecyfikowane powyżej urządzenia są kompletne i będą, po montażu i zainstalowaniu, gotowe do podjęcia prawidłowej pracy bez żadnych dodatkowych zakupów.</w:t>
      </w: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554556">
      <w:pPr>
        <w:ind w:right="-35"/>
        <w:rPr>
          <w:sz w:val="22"/>
          <w:szCs w:val="22"/>
        </w:rPr>
      </w:pPr>
      <w:r>
        <w:rPr>
          <w:sz w:val="22"/>
          <w:szCs w:val="22"/>
        </w:rPr>
        <w:t>...................................</w:t>
      </w:r>
      <w:r>
        <w:rPr>
          <w:sz w:val="22"/>
          <w:szCs w:val="22"/>
        </w:rPr>
        <w:tab/>
        <w:t xml:space="preserve">                                                                         ....................................................</w:t>
      </w:r>
    </w:p>
    <w:p w:rsidR="00C414C1" w:rsidRPr="001B18B2" w:rsidRDefault="00554556" w:rsidP="001B18B2">
      <w:pPr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proofErr w:type="gramStart"/>
      <w:r>
        <w:rPr>
          <w:sz w:val="22"/>
          <w:szCs w:val="22"/>
        </w:rPr>
        <w:t xml:space="preserve">data                                                  </w:t>
      </w:r>
      <w:proofErr w:type="gramEnd"/>
      <w:r>
        <w:rPr>
          <w:sz w:val="22"/>
          <w:szCs w:val="22"/>
        </w:rPr>
        <w:t xml:space="preserve">                                        Podpis osoby upoważnionej</w:t>
      </w:r>
    </w:p>
    <w:sectPr w:rsidR="00C414C1" w:rsidRPr="001B18B2">
      <w:pgSz w:w="11906" w:h="16838"/>
      <w:pgMar w:top="993" w:right="1417" w:bottom="851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emens Sans">
    <w:altName w:val="Times New Roman"/>
    <w:charset w:val="EE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Andale Sans UI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 w:cs="Open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0"/>
        </w:tabs>
        <w:ind w:left="1023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43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463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83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03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23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43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063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783" w:hanging="360"/>
      </w:pPr>
      <w:rPr>
        <w:rFonts w:ascii="Wingdings" w:hAnsi="Wingdings" w:cs="Wingdings"/>
      </w:rPr>
    </w:lvl>
  </w:abstractNum>
  <w:abstractNum w:abstractNumId="2" w15:restartNumberingAfterBreak="0">
    <w:nsid w:val="10F94E90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3" w15:restartNumberingAfterBreak="0">
    <w:nsid w:val="35BC2A3D"/>
    <w:multiLevelType w:val="multilevel"/>
    <w:tmpl w:val="562EA5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4C1"/>
    <w:rsid w:val="000100A1"/>
    <w:rsid w:val="00034F03"/>
    <w:rsid w:val="00074CF6"/>
    <w:rsid w:val="000A64C2"/>
    <w:rsid w:val="000B3538"/>
    <w:rsid w:val="001B18B2"/>
    <w:rsid w:val="001B29F0"/>
    <w:rsid w:val="001F6CA5"/>
    <w:rsid w:val="00295574"/>
    <w:rsid w:val="002C02B1"/>
    <w:rsid w:val="002C1484"/>
    <w:rsid w:val="00315C3C"/>
    <w:rsid w:val="00337373"/>
    <w:rsid w:val="00391508"/>
    <w:rsid w:val="003A55D6"/>
    <w:rsid w:val="003B0245"/>
    <w:rsid w:val="003F3501"/>
    <w:rsid w:val="004736F8"/>
    <w:rsid w:val="00482B14"/>
    <w:rsid w:val="0052157F"/>
    <w:rsid w:val="00537D57"/>
    <w:rsid w:val="0055049F"/>
    <w:rsid w:val="00554556"/>
    <w:rsid w:val="005850CE"/>
    <w:rsid w:val="00627A55"/>
    <w:rsid w:val="006345F5"/>
    <w:rsid w:val="00660105"/>
    <w:rsid w:val="006633AE"/>
    <w:rsid w:val="006C5786"/>
    <w:rsid w:val="006D4D16"/>
    <w:rsid w:val="00723921"/>
    <w:rsid w:val="00795453"/>
    <w:rsid w:val="00822078"/>
    <w:rsid w:val="008630B9"/>
    <w:rsid w:val="00886898"/>
    <w:rsid w:val="008B5721"/>
    <w:rsid w:val="008E13EE"/>
    <w:rsid w:val="008E3A72"/>
    <w:rsid w:val="00906F3F"/>
    <w:rsid w:val="00912D4E"/>
    <w:rsid w:val="00940265"/>
    <w:rsid w:val="009415DF"/>
    <w:rsid w:val="009853DD"/>
    <w:rsid w:val="009B201E"/>
    <w:rsid w:val="009C7229"/>
    <w:rsid w:val="00A24650"/>
    <w:rsid w:val="00AC1E28"/>
    <w:rsid w:val="00AF6EC7"/>
    <w:rsid w:val="00B42E26"/>
    <w:rsid w:val="00B4654F"/>
    <w:rsid w:val="00B77AEE"/>
    <w:rsid w:val="00B92C1C"/>
    <w:rsid w:val="00BB7606"/>
    <w:rsid w:val="00BE20A0"/>
    <w:rsid w:val="00BE5556"/>
    <w:rsid w:val="00C414C1"/>
    <w:rsid w:val="00CC2D45"/>
    <w:rsid w:val="00D5461D"/>
    <w:rsid w:val="00D61CEF"/>
    <w:rsid w:val="00D86841"/>
    <w:rsid w:val="00D949B0"/>
    <w:rsid w:val="00E64BE1"/>
    <w:rsid w:val="00EE3C54"/>
    <w:rsid w:val="00F2214D"/>
    <w:rsid w:val="00F27922"/>
    <w:rsid w:val="00F42F5B"/>
    <w:rsid w:val="00F960FE"/>
    <w:rsid w:val="00FB637D"/>
    <w:rsid w:val="00FD3384"/>
    <w:rsid w:val="00FD40AA"/>
    <w:rsid w:val="00FF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C2CDA3-C23B-421C-9649-D89E7A60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C5786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keepLines/>
      <w:spacing w:before="40"/>
      <w:outlineLvl w:val="1"/>
    </w:pPr>
    <w:rPr>
      <w:rFonts w:ascii="Calibri Light" w:eastAsia="Calibri" w:hAnsi="Calibri Light"/>
      <w:color w:val="2F5496"/>
      <w:sz w:val="26"/>
      <w:szCs w:val="26"/>
    </w:rPr>
  </w:style>
  <w:style w:type="paragraph" w:styleId="Nagwek3">
    <w:name w:val="heading 3"/>
    <w:basedOn w:val="Akapitzlist"/>
    <w:next w:val="Normalny"/>
    <w:link w:val="Nagwek3Znak"/>
    <w:qFormat/>
    <w:pPr>
      <w:spacing w:before="240" w:after="27" w:line="290" w:lineRule="auto"/>
      <w:ind w:left="0"/>
      <w:contextualSpacing/>
      <w:outlineLvl w:val="2"/>
    </w:pPr>
    <w:rPr>
      <w:rFonts w:ascii="Cambria" w:hAnsi="Cambria" w:cs="Cambria"/>
      <w:b/>
      <w:color w:val="000000"/>
      <w:sz w:val="24"/>
      <w:szCs w:val="24"/>
      <w:lang w:val="pl-PL"/>
    </w:rPr>
  </w:style>
  <w:style w:type="paragraph" w:styleId="Nagwek4">
    <w:name w:val="heading 4"/>
    <w:basedOn w:val="Normalny"/>
    <w:next w:val="Normalny"/>
    <w:link w:val="Nagwek4Znak"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val="x-none"/>
    </w:rPr>
  </w:style>
  <w:style w:type="paragraph" w:styleId="Nagwek5">
    <w:name w:val="heading 5"/>
    <w:basedOn w:val="Normalny"/>
    <w:next w:val="Normalny"/>
    <w:link w:val="Nagwek5Znak"/>
    <w:qFormat/>
    <w:pPr>
      <w:keepNext/>
      <w:keepLines/>
      <w:spacing w:before="40" w:line="290" w:lineRule="auto"/>
      <w:ind w:left="10" w:hanging="10"/>
      <w:outlineLvl w:val="4"/>
    </w:pPr>
    <w:rPr>
      <w:rFonts w:ascii="Cambria" w:hAnsi="Cambria"/>
      <w:color w:val="365F91"/>
    </w:rPr>
  </w:style>
  <w:style w:type="paragraph" w:styleId="Nagwek6">
    <w:name w:val="heading 6"/>
    <w:basedOn w:val="Normalny"/>
    <w:next w:val="Normalny"/>
    <w:link w:val="Nagwek6Znak"/>
    <w:qFormat/>
    <w:pPr>
      <w:keepNext/>
      <w:keepLines/>
      <w:spacing w:before="200" w:after="40" w:line="259" w:lineRule="auto"/>
      <w:jc w:val="right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qFormat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Domylnaczcionkaakapitu1">
    <w:name w:val="Domyślna czcionka akapitu1"/>
    <w:qFormat/>
  </w:style>
  <w:style w:type="character" w:customStyle="1" w:styleId="TekstpodstawowywcityZnak">
    <w:name w:val="Tekst podstawowy wcięty Znak"/>
    <w:link w:val="Tekstpodstawowywcity"/>
    <w:qFormat/>
    <w:rPr>
      <w:lang w:val="x-none" w:eastAsia="x-none"/>
    </w:rPr>
  </w:style>
  <w:style w:type="character" w:customStyle="1" w:styleId="TekstdymkaZnak">
    <w:name w:val="Tekst dymka Znak"/>
    <w:link w:val="Tekstdymka"/>
    <w:qFormat/>
    <w:rPr>
      <w:rFonts w:ascii="Tahoma" w:eastAsia="Times New Roman" w:hAnsi="Tahoma" w:cs="Tahoma"/>
      <w:sz w:val="16"/>
      <w:szCs w:val="16"/>
    </w:rPr>
  </w:style>
  <w:style w:type="character" w:customStyle="1" w:styleId="ListParagraphChar">
    <w:name w:val="List Paragraph Char"/>
    <w:link w:val="Akapitzlist1"/>
    <w:qFormat/>
    <w:rPr>
      <w:sz w:val="22"/>
      <w:szCs w:val="22"/>
      <w:lang w:val="x-none" w:eastAsia="en-US"/>
    </w:rPr>
  </w:style>
  <w:style w:type="character" w:customStyle="1" w:styleId="NagwekZnak">
    <w:name w:val="Nagłówek Znak"/>
    <w:basedOn w:val="Domylnaczcionkaakapitu"/>
    <w:link w:val="Nagwek"/>
    <w:qFormat/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qFormat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Pr>
      <w:rFonts w:cs="Calibri"/>
      <w:color w:val="000000"/>
      <w:u w:val="none"/>
      <w:lang w:val="de-DE"/>
    </w:rPr>
  </w:style>
  <w:style w:type="character" w:customStyle="1" w:styleId="Nagwek4Znak">
    <w:name w:val="Nagłówek 4 Znak"/>
    <w:basedOn w:val="Domylnaczcionkaakapitu"/>
    <w:link w:val="Nagwek4"/>
    <w:qFormat/>
    <w:rPr>
      <w:rFonts w:ascii="Cambria" w:eastAsia="Times New Roman" w:hAnsi="Cambria"/>
      <w:b/>
      <w:bCs/>
      <w:i/>
      <w:iCs/>
      <w:color w:val="4F81BD"/>
      <w:lang w:val="x-none"/>
    </w:rPr>
  </w:style>
  <w:style w:type="character" w:customStyle="1" w:styleId="A2">
    <w:name w:val="A2"/>
    <w:qFormat/>
    <w:rPr>
      <w:rFonts w:cs="Siemens Sans"/>
      <w:color w:val="000000"/>
    </w:rPr>
  </w:style>
  <w:style w:type="character" w:customStyle="1" w:styleId="ZwykytekstZnak">
    <w:name w:val="Zwykły tekst Znak"/>
    <w:basedOn w:val="Domylnaczcionkaakapitu"/>
    <w:link w:val="Zwykytekst"/>
    <w:qFormat/>
    <w:rPr>
      <w:rFonts w:ascii="Arial" w:eastAsia="Calibri" w:hAnsi="Arial" w:cs="Arial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qFormat/>
    <w:rPr>
      <w:rFonts w:ascii="Times New Roman" w:eastAsia="Times New Roman" w:hAnsi="Times New Roman"/>
      <w:sz w:val="24"/>
      <w:szCs w:val="24"/>
    </w:rPr>
  </w:style>
  <w:style w:type="character" w:customStyle="1" w:styleId="Podpistabeli">
    <w:name w:val="Podpis tabeli_"/>
    <w:basedOn w:val="Domylnaczcionkaakapitu"/>
    <w:link w:val="Podpistabeli0"/>
    <w:qFormat/>
    <w:rPr>
      <w:rFonts w:ascii="Times New Roman" w:hAnsi="Times New Roman"/>
      <w:sz w:val="18"/>
      <w:szCs w:val="18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qFormat/>
    <w:rPr>
      <w:rFonts w:ascii="Calibri Light" w:eastAsia="Calibri" w:hAnsi="Calibri Light" w:cs="Times New Roman"/>
      <w:color w:val="2F5496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qFormat/>
    <w:rPr>
      <w:rFonts w:ascii="Arial" w:eastAsia="Times New Roman" w:hAnsi="Arial" w:cs="Arial"/>
      <w:b/>
      <w:bCs/>
      <w:kern w:val="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qFormat/>
    <w:rPr>
      <w:rFonts w:ascii="Cambria" w:eastAsia="Times New Roman" w:hAnsi="Cambria" w:cs="Cambria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qFormat/>
    <w:rPr>
      <w:rFonts w:ascii="Cambria" w:eastAsia="Times New Roman" w:hAnsi="Cambria"/>
      <w:color w:val="365F91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qFormat/>
    <w:rPr>
      <w:rFonts w:cs="Calibri"/>
      <w:b/>
      <w:color w:val="000000"/>
    </w:rPr>
  </w:style>
  <w:style w:type="character" w:customStyle="1" w:styleId="czeinternetowe">
    <w:name w:val="Łącze internetowe"/>
    <w:rPr>
      <w:color w:val="0000FF"/>
      <w:u w:val="single"/>
    </w:rPr>
  </w:style>
  <w:style w:type="character" w:styleId="Numerstrony">
    <w:name w:val="page number"/>
    <w:basedOn w:val="Domylnaczcionkaakapitu"/>
    <w:qFormat/>
  </w:style>
  <w:style w:type="character" w:customStyle="1" w:styleId="MapadokumentuZnak">
    <w:name w:val="Mapa dokumentu Znak"/>
    <w:basedOn w:val="Domylnaczcionkaakapitu"/>
    <w:link w:val="Mapadokumentu"/>
    <w:qFormat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attributenametext">
    <w:name w:val="attribute_name_text"/>
    <w:qFormat/>
  </w:style>
  <w:style w:type="character" w:styleId="Pogrubienie">
    <w:name w:val="Strong"/>
    <w:qFormat/>
    <w:rPr>
      <w:b/>
      <w:bCs/>
    </w:rPr>
  </w:style>
  <w:style w:type="character" w:customStyle="1" w:styleId="fontstyle01">
    <w:name w:val="fontstyle01"/>
    <w:qFormat/>
    <w:rPr>
      <w:rFonts w:ascii="Helvetica" w:hAnsi="Helvetica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qFormat/>
    <w:rPr>
      <w:rFonts w:ascii="Arial" w:hAnsi="Arial" w:cs="Arial"/>
      <w:b w:val="0"/>
      <w:bCs w:val="0"/>
      <w:i w:val="0"/>
      <w:iCs w:val="0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Pr>
      <w:rFonts w:ascii="Times New Roman" w:eastAsia="Times New Roman" w:hAnsi="Times New Roman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style5">
    <w:name w:val="style5"/>
    <w:qFormat/>
  </w:style>
  <w:style w:type="character" w:customStyle="1" w:styleId="TytuZnak">
    <w:name w:val="Tytuł Znak"/>
    <w:link w:val="Tytu"/>
    <w:qFormat/>
    <w:rPr>
      <w:sz w:val="36"/>
    </w:rPr>
  </w:style>
  <w:style w:type="character" w:customStyle="1" w:styleId="TytuZnak1">
    <w:name w:val="Tytuł Znak1"/>
    <w:basedOn w:val="Domylnaczcionkaakapitu"/>
    <w:qFormat/>
    <w:rPr>
      <w:rFonts w:ascii="Calibri Light" w:eastAsia="Calibri" w:hAnsi="Calibri Light" w:cs="Times New Roman"/>
      <w:spacing w:val="-10"/>
      <w:kern w:val="2"/>
      <w:sz w:val="56"/>
      <w:szCs w:val="56"/>
    </w:rPr>
  </w:style>
  <w:style w:type="character" w:customStyle="1" w:styleId="UnresolvedMention1">
    <w:name w:val="Unresolved Mention1"/>
    <w:qFormat/>
    <w:rPr>
      <w:color w:val="605E5C"/>
      <w:shd w:val="clear" w:color="auto" w:fill="E1DFDD"/>
    </w:rPr>
  </w:style>
  <w:style w:type="character" w:customStyle="1" w:styleId="TematkomentarzaZnak">
    <w:name w:val="Temat komentarza Znak"/>
    <w:basedOn w:val="TekstkomentarzaZnak"/>
    <w:link w:val="Tematkomentarza"/>
    <w:qFormat/>
    <w:rPr>
      <w:rFonts w:ascii="Cambria" w:eastAsia="Times New Roman" w:hAnsi="Cambria" w:cs="Cambria"/>
      <w:b/>
      <w:bCs/>
      <w:color w:val="000000"/>
      <w:u w:val="none"/>
      <w:lang w:val="de-DE"/>
    </w:rPr>
  </w:style>
  <w:style w:type="character" w:customStyle="1" w:styleId="HTML-wstpniesformatowanyZnak">
    <w:name w:val="HTML - wstępnie sformatowany Znak"/>
    <w:qFormat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BezodstpwZnak">
    <w:name w:val="Bez odstępów Znak"/>
    <w:link w:val="Bezodstpw"/>
    <w:qFormat/>
    <w:rPr>
      <w:rFonts w:ascii="Times New Roman" w:eastAsia="Times New Roman" w:hAnsi="Times New Roman"/>
      <w:sz w:val="24"/>
      <w:szCs w:val="24"/>
    </w:rPr>
  </w:style>
  <w:style w:type="character" w:customStyle="1" w:styleId="FontStyle41">
    <w:name w:val="Font Style41"/>
    <w:qFormat/>
    <w:rPr>
      <w:rFonts w:ascii="Calibri" w:hAnsi="Calibri" w:cs="Calibri"/>
      <w:sz w:val="18"/>
      <w:szCs w:val="18"/>
    </w:rPr>
  </w:style>
  <w:style w:type="character" w:customStyle="1" w:styleId="abcZnakZnak">
    <w:name w:val="abc Znak Znak"/>
    <w:qFormat/>
    <w:rPr>
      <w:rFonts w:ascii="Arial Narrow" w:eastAsia="Times New Roman" w:hAnsi="Arial Narrow"/>
      <w:b/>
      <w:color w:val="000000"/>
      <w:sz w:val="24"/>
      <w:szCs w:val="24"/>
    </w:rPr>
  </w:style>
  <w:style w:type="character" w:customStyle="1" w:styleId="normaltextrun">
    <w:name w:val="normaltextrun"/>
    <w:basedOn w:val="Domylnaczcionkaakapitu"/>
    <w:qFormat/>
  </w:style>
  <w:style w:type="character" w:customStyle="1" w:styleId="eop">
    <w:name w:val="eop"/>
    <w:basedOn w:val="Domylnaczcionkaakapitu"/>
    <w:qFormat/>
  </w:style>
  <w:style w:type="character" w:customStyle="1" w:styleId="normaltextrun1">
    <w:name w:val="normaltextrun1"/>
    <w:basedOn w:val="Domylnaczcionkaakapitu"/>
    <w:qFormat/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Wzmianka1">
    <w:name w:val="Wzmianka1"/>
    <w:qFormat/>
    <w:rPr>
      <w:color w:val="2B579A"/>
      <w:shd w:val="clear" w:color="auto" w:fill="E1DFDD"/>
    </w:rPr>
  </w:style>
  <w:style w:type="character" w:customStyle="1" w:styleId="HTML-wstpniesformatowanyZnak1">
    <w:name w:val="HTML - wstępnie sformatowany Znak1"/>
    <w:link w:val="HTML-wstpniesformatowany"/>
    <w:qFormat/>
    <w:rPr>
      <w:rFonts w:ascii="Courier New" w:hAnsi="Courier New" w:cs="Courier New"/>
    </w:rPr>
  </w:style>
  <w:style w:type="character" w:customStyle="1" w:styleId="TekstdymkaZnak1">
    <w:name w:val="Tekst dymka Znak1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TekstkomentarzaZnak1">
    <w:name w:val="Tekst komentarza Znak1"/>
    <w:qFormat/>
    <w:rPr>
      <w:rFonts w:ascii="Calibri" w:eastAsia="Calibri" w:hAnsi="Calibri" w:cs="Calibri"/>
      <w:color w:val="000000"/>
      <w:sz w:val="20"/>
      <w:szCs w:val="20"/>
    </w:rPr>
  </w:style>
  <w:style w:type="character" w:customStyle="1" w:styleId="TematkomentarzaZnak1">
    <w:name w:val="Temat komentarza Znak1"/>
    <w:qFormat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Odwiedzoneczeinternetowe">
    <w:name w:val="Odwiedzone łącze internetowe"/>
    <w:rPr>
      <w:color w:val="954F72"/>
      <w:u w:val="single"/>
    </w:rPr>
  </w:style>
  <w:style w:type="character" w:customStyle="1" w:styleId="NagwekZnak1">
    <w:name w:val="Nagłówek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StopkaZnak1">
    <w:name w:val="Stopka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HTML-wstpniesformatowanyZnak2">
    <w:name w:val="HTML - wstępnie sformatowany Znak2"/>
    <w:basedOn w:val="Domylnaczcionkaakapitu"/>
    <w:qFormat/>
    <w:rPr>
      <w:rFonts w:ascii="Consolas" w:eastAsia="Times New Roman" w:hAnsi="Consolas"/>
    </w:rPr>
  </w:style>
  <w:style w:type="character" w:customStyle="1" w:styleId="PodtytuZnak">
    <w:name w:val="Podtytuł Znak"/>
    <w:basedOn w:val="Domylnaczcionkaakapitu"/>
    <w:link w:val="Podtytu"/>
    <w:qFormat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1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Lucida Sans"/>
      <w:sz w:val="22"/>
      <w:szCs w:val="19"/>
    </w:rPr>
  </w:style>
  <w:style w:type="paragraph" w:customStyle="1" w:styleId="Gwkaistopka">
    <w:name w:val="Główka i stopka"/>
    <w:basedOn w:val="Normalny"/>
    <w:qFormat/>
    <w:rPr>
      <w:rFonts w:ascii="Arial" w:hAnsi="Arial"/>
      <w:sz w:val="22"/>
      <w:szCs w:val="19"/>
    </w:rPr>
  </w:style>
  <w:style w:type="paragraph" w:styleId="Akapitzlist">
    <w:name w:val="List Paragraph"/>
    <w:basedOn w:val="Normalny"/>
    <w:link w:val="AkapitzlistZnak"/>
    <w:uiPriority w:val="34"/>
    <w:qFormat/>
    <w:pPr>
      <w:ind w:left="708"/>
    </w:pPr>
    <w:rPr>
      <w:sz w:val="20"/>
      <w:szCs w:val="20"/>
      <w:lang w:val="x-none"/>
    </w:rPr>
  </w:style>
  <w:style w:type="paragraph" w:styleId="Bezodstpw">
    <w:name w:val="No Spacing"/>
    <w:link w:val="BezodstpwZnak"/>
    <w:qFormat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pPr>
      <w:spacing w:after="120" w:line="276" w:lineRule="auto"/>
      <w:ind w:left="283"/>
    </w:pPr>
    <w:rPr>
      <w:rFonts w:ascii="Calibri" w:eastAsia="Calibri" w:hAnsi="Calibri"/>
      <w:sz w:val="20"/>
      <w:szCs w:val="20"/>
      <w:lang w:val="x-none" w:eastAsia="x-none"/>
    </w:rPr>
  </w:style>
  <w:style w:type="paragraph" w:customStyle="1" w:styleId="Bezodstpw1">
    <w:name w:val="Bez odstępów1"/>
    <w:qFormat/>
    <w:rPr>
      <w:rFonts w:ascii="Cambria" w:eastAsia="Times New Roman" w:hAnsi="Cambria" w:cs="Cambria"/>
      <w:sz w:val="24"/>
      <w:szCs w:val="24"/>
      <w:lang w:val="cs-CZ"/>
    </w:rPr>
  </w:style>
  <w:style w:type="paragraph" w:styleId="NormalnyWeb">
    <w:name w:val="Normal (Web)"/>
    <w:basedOn w:val="Normalny"/>
    <w:qFormat/>
    <w:pPr>
      <w:widowControl w:val="0"/>
      <w:spacing w:before="280" w:after="280" w:line="100" w:lineRule="atLeast"/>
      <w:textAlignment w:val="baseline"/>
    </w:pPr>
    <w:rPr>
      <w:rFonts w:eastAsia="Andale Sans UI" w:cs="Tahoma"/>
      <w:kern w:val="2"/>
      <w:lang w:val="de-DE" w:eastAsia="fa-IR" w:bidi="fa-IR"/>
    </w:rPr>
  </w:style>
  <w:style w:type="paragraph" w:customStyle="1" w:styleId="Default">
    <w:name w:val="Default"/>
    <w:qFormat/>
    <w:rPr>
      <w:rFonts w:ascii="Siemens Sans" w:hAnsi="Siemens Sans" w:cs="Siemens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qFormat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link w:val="ListParagraphChar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qFormat/>
    <w:pPr>
      <w:spacing w:after="200"/>
    </w:pPr>
    <w:rPr>
      <w:rFonts w:ascii="Calibri" w:eastAsia="Calibri" w:hAnsi="Calibri" w:cs="Calibri"/>
      <w:color w:val="000000"/>
      <w:sz w:val="20"/>
      <w:szCs w:val="20"/>
      <w:lang w:val="de-DE"/>
    </w:rPr>
  </w:style>
  <w:style w:type="paragraph" w:customStyle="1" w:styleId="Akapitzlist2">
    <w:name w:val="Akapit z listą2"/>
    <w:basedOn w:val="Normalny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x-none" w:eastAsia="en-US"/>
    </w:rPr>
  </w:style>
  <w:style w:type="paragraph" w:customStyle="1" w:styleId="AbsatzTableFormat">
    <w:name w:val="AbsatzTableFormat"/>
    <w:basedOn w:val="Normalny"/>
    <w:qFormat/>
    <w:rPr>
      <w:rFonts w:ascii="Arial" w:eastAsia="MS Mincho" w:hAnsi="Arial"/>
      <w:sz w:val="22"/>
      <w:szCs w:val="20"/>
    </w:rPr>
  </w:style>
  <w:style w:type="paragraph" w:customStyle="1" w:styleId="Pa16">
    <w:name w:val="Pa16"/>
    <w:basedOn w:val="Default"/>
    <w:next w:val="Default"/>
    <w:qFormat/>
    <w:pPr>
      <w:spacing w:line="241" w:lineRule="atLeast"/>
    </w:pPr>
    <w:rPr>
      <w:rFonts w:cs="Times New Roman"/>
      <w:color w:val="auto"/>
    </w:rPr>
  </w:style>
  <w:style w:type="paragraph" w:styleId="Zwykytekst">
    <w:name w:val="Plain Text"/>
    <w:basedOn w:val="Normalny"/>
    <w:link w:val="ZwykytekstZnak"/>
    <w:qFormat/>
    <w:rPr>
      <w:rFonts w:ascii="Arial" w:eastAsia="Calibri" w:hAnsi="Arial" w:cs="Arial"/>
      <w:sz w:val="20"/>
      <w:szCs w:val="20"/>
      <w:lang w:eastAsia="en-US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Podpistabeli0">
    <w:name w:val="Podpis tabeli"/>
    <w:basedOn w:val="Normalny"/>
    <w:link w:val="Podpistabeli"/>
    <w:qFormat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  <w:rPr>
      <w:rFonts w:ascii="Arial" w:hAnsi="Arial"/>
      <w:sz w:val="22"/>
      <w:szCs w:val="19"/>
    </w:rPr>
  </w:style>
  <w:style w:type="paragraph" w:customStyle="1" w:styleId="western">
    <w:name w:val="western"/>
    <w:basedOn w:val="Normalny"/>
    <w:qFormat/>
    <w:pPr>
      <w:spacing w:before="280" w:after="142" w:line="276" w:lineRule="auto"/>
    </w:pPr>
  </w:style>
  <w:style w:type="paragraph" w:customStyle="1" w:styleId="tekstwstpny">
    <w:name w:val="tekst wstępny"/>
    <w:basedOn w:val="Normalny"/>
    <w:qFormat/>
    <w:pPr>
      <w:spacing w:before="60" w:after="60"/>
    </w:pPr>
    <w:rPr>
      <w:sz w:val="20"/>
      <w:szCs w:val="20"/>
    </w:rPr>
  </w:style>
  <w:style w:type="paragraph" w:styleId="Mapadokumentu">
    <w:name w:val="Document Map"/>
    <w:basedOn w:val="Normalny"/>
    <w:link w:val="MapadokumentuZnak"/>
    <w:qFormat/>
    <w:rPr>
      <w:rFonts w:ascii="Tahoma" w:hAnsi="Tahoma"/>
      <w:sz w:val="16"/>
      <w:szCs w:val="16"/>
      <w:lang w:val="x-none" w:eastAsia="x-none"/>
    </w:rPr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paragraph" w:customStyle="1" w:styleId="AK2">
    <w:name w:val="AK_2"/>
    <w:basedOn w:val="pp2"/>
    <w:qFormat/>
    <w:pPr>
      <w:ind w:left="540" w:firstLine="540"/>
    </w:pPr>
  </w:style>
  <w:style w:type="paragraph" w:customStyle="1" w:styleId="pp2">
    <w:name w:val="pp_2"/>
    <w:basedOn w:val="Normalny"/>
    <w:qFormat/>
    <w:pPr>
      <w:spacing w:before="120"/>
      <w:ind w:left="1078" w:hanging="539"/>
      <w:jc w:val="both"/>
      <w:textAlignment w:val="baseline"/>
    </w:pPr>
    <w:rPr>
      <w:rFonts w:eastAsia="Arial"/>
      <w:szCs w:val="20"/>
      <w:lang w:eastAsia="ar-SA"/>
    </w:rPr>
  </w:style>
  <w:style w:type="paragraph" w:styleId="Tytu">
    <w:name w:val="Title"/>
    <w:basedOn w:val="Normalny"/>
    <w:link w:val="TytuZnak"/>
    <w:qFormat/>
    <w:pPr>
      <w:widowControl w:val="0"/>
      <w:spacing w:before="160"/>
      <w:jc w:val="center"/>
    </w:pPr>
    <w:rPr>
      <w:rFonts w:ascii="Calibri" w:eastAsia="Calibri" w:hAnsi="Calibri"/>
      <w:sz w:val="36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pPr>
      <w:spacing w:after="27"/>
      <w:ind w:left="10" w:hanging="10"/>
    </w:pPr>
    <w:rPr>
      <w:rFonts w:ascii="Cambria" w:eastAsia="Times New Roman" w:hAnsi="Cambria" w:cs="Cambria"/>
      <w:b/>
      <w:bCs/>
      <w:lang w:val="pl-PL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pPr>
      <w:keepNext w:val="0"/>
      <w:spacing w:before="0" w:after="27" w:line="259" w:lineRule="auto"/>
      <w:contextualSpacing/>
      <w:outlineLvl w:val="9"/>
    </w:pPr>
    <w:rPr>
      <w:rFonts w:ascii="Cambria" w:hAnsi="Cambria" w:cs="Cambria"/>
      <w:b w:val="0"/>
      <w:bCs w:val="0"/>
      <w:color w:val="000000"/>
      <w:kern w:val="0"/>
      <w:szCs w:val="24"/>
    </w:rPr>
  </w:style>
  <w:style w:type="paragraph" w:styleId="Spistreci1">
    <w:name w:val="toc 1"/>
    <w:basedOn w:val="Normalny"/>
    <w:next w:val="Normalny"/>
    <w:autoRedefine/>
    <w:pPr>
      <w:spacing w:after="100" w:line="290" w:lineRule="auto"/>
      <w:ind w:hanging="10"/>
    </w:pPr>
    <w:rPr>
      <w:rFonts w:ascii="Cambria" w:hAnsi="Cambria" w:cs="Cambria"/>
      <w:color w:val="000000"/>
    </w:rPr>
  </w:style>
  <w:style w:type="paragraph" w:styleId="Spistreci2">
    <w:name w:val="toc 2"/>
    <w:basedOn w:val="Normalny"/>
    <w:next w:val="Normalny"/>
    <w:autoRedefine/>
    <w:pPr>
      <w:spacing w:after="100" w:line="290" w:lineRule="auto"/>
      <w:ind w:left="220" w:hanging="10"/>
    </w:pPr>
    <w:rPr>
      <w:rFonts w:ascii="Cambria" w:hAnsi="Cambria" w:cs="Cambria"/>
      <w:color w:val="000000"/>
    </w:rPr>
  </w:style>
  <w:style w:type="paragraph" w:styleId="Spistreci3">
    <w:name w:val="toc 3"/>
    <w:basedOn w:val="Normalny"/>
    <w:next w:val="Normalny"/>
    <w:autoRedefine/>
    <w:pPr>
      <w:spacing w:after="100" w:line="290" w:lineRule="auto"/>
      <w:ind w:left="480" w:hanging="10"/>
    </w:pPr>
    <w:rPr>
      <w:rFonts w:ascii="Cambria" w:hAnsi="Cambria" w:cs="Cambria"/>
      <w:color w:val="000000"/>
    </w:rPr>
  </w:style>
  <w:style w:type="paragraph" w:customStyle="1" w:styleId="Tekstpodstawowy1">
    <w:name w:val="Tekst podstawowy1"/>
    <w:basedOn w:val="Normalny"/>
    <w:qFormat/>
    <w:rPr>
      <w:rFonts w:ascii="Arial" w:hAnsi="Arial"/>
      <w:sz w:val="20"/>
      <w:szCs w:val="20"/>
    </w:rPr>
  </w:style>
  <w:style w:type="paragraph" w:customStyle="1" w:styleId="TableParagraph">
    <w:name w:val="Table Paragraph"/>
    <w:basedOn w:val="Normalny"/>
    <w:qFormat/>
    <w:pPr>
      <w:widowControl w:val="0"/>
    </w:pPr>
    <w:rPr>
      <w:rFonts w:ascii="Carlito" w:eastAsia="Carlito" w:hAnsi="Carlito" w:cs="Carlito"/>
      <w:sz w:val="22"/>
      <w:szCs w:val="19"/>
      <w:lang w:eastAsia="en-US"/>
    </w:rPr>
  </w:style>
  <w:style w:type="paragraph" w:styleId="HTML-wstpniesformatowany">
    <w:name w:val="HTML Preformatted"/>
    <w:basedOn w:val="Normalny"/>
    <w:link w:val="HTML-wstpniesformatowanyZnak1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paragraph" w:customStyle="1" w:styleId="ZnakZnak5">
    <w:name w:val="Znak Znak5"/>
    <w:basedOn w:val="Normalny"/>
    <w:qFormat/>
  </w:style>
  <w:style w:type="paragraph" w:customStyle="1" w:styleId="abcZnak">
    <w:name w:val="abc Znak"/>
    <w:basedOn w:val="Normalny"/>
    <w:qFormat/>
    <w:pPr>
      <w:widowControl w:val="0"/>
    </w:pPr>
    <w:rPr>
      <w:rFonts w:ascii="Arial Narrow" w:hAnsi="Arial Narrow"/>
      <w:b/>
      <w:color w:val="000000"/>
    </w:rPr>
  </w:style>
  <w:style w:type="paragraph" w:customStyle="1" w:styleId="paragraph">
    <w:name w:val="paragraph"/>
    <w:basedOn w:val="Normalny"/>
    <w:qFormat/>
    <w:pPr>
      <w:spacing w:before="280" w:after="280"/>
    </w:pPr>
  </w:style>
  <w:style w:type="paragraph" w:styleId="Poprawka">
    <w:name w:val="Revision"/>
    <w:qFormat/>
    <w:pPr>
      <w:jc w:val="right"/>
    </w:pPr>
    <w:rPr>
      <w:rFonts w:ascii="Arial" w:eastAsia="Times New Roman" w:hAnsi="Arial"/>
      <w:sz w:val="19"/>
      <w:szCs w:val="19"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Indeks1">
    <w:name w:val="index 1"/>
    <w:basedOn w:val="Normalny"/>
    <w:next w:val="Normalny"/>
    <w:autoRedefine/>
    <w:qFormat/>
    <w:pPr>
      <w:ind w:left="240" w:hanging="240"/>
    </w:pPr>
    <w:rPr>
      <w:rFonts w:ascii="Cambria" w:hAnsi="Cambria" w:cs="Cambria"/>
      <w:color w:val="000000"/>
    </w:rPr>
  </w:style>
  <w:style w:type="paragraph" w:styleId="Lista-kontynuacja2">
    <w:name w:val="List Continue 2"/>
    <w:basedOn w:val="Normalny"/>
    <w:qFormat/>
    <w:pPr>
      <w:spacing w:after="120" w:line="259" w:lineRule="auto"/>
      <w:ind w:left="566"/>
      <w:contextualSpacing/>
      <w:jc w:val="right"/>
    </w:pPr>
    <w:rPr>
      <w:rFonts w:ascii="Calibri" w:eastAsia="Calibri" w:hAnsi="Calibri" w:cs="Calibri"/>
      <w:color w:val="000000"/>
      <w:sz w:val="19"/>
      <w:szCs w:val="19"/>
    </w:rPr>
  </w:style>
  <w:style w:type="paragraph" w:customStyle="1" w:styleId="msonormal0">
    <w:name w:val="msonormal"/>
    <w:basedOn w:val="Normalny"/>
    <w:qFormat/>
    <w:pPr>
      <w:spacing w:before="280" w:after="280"/>
    </w:pPr>
  </w:style>
  <w:style w:type="paragraph" w:customStyle="1" w:styleId="xl68">
    <w:name w:val="xl6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05496"/>
      <w:spacing w:before="280" w:after="280"/>
      <w:jc w:val="center"/>
      <w:textAlignment w:val="center"/>
    </w:pPr>
    <w:rPr>
      <w:rFonts w:ascii="Arial" w:hAnsi="Arial" w:cs="Arial"/>
      <w:b/>
      <w:bCs/>
      <w:color w:val="FFFFFF"/>
      <w:sz w:val="20"/>
      <w:szCs w:val="20"/>
    </w:rPr>
  </w:style>
  <w:style w:type="paragraph" w:customStyle="1" w:styleId="xl69">
    <w:name w:val="xl6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DD7EE"/>
      <w:spacing w:before="280" w:after="280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6">
    <w:name w:val="xl7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7">
    <w:name w:val="xl7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8">
    <w:name w:val="xl7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9">
    <w:name w:val="xl7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80">
    <w:name w:val="xl8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5">
    <w:name w:val="xl85"/>
    <w:basedOn w:val="Normalny"/>
    <w:qFormat/>
    <w:pPr>
      <w:spacing w:before="280" w:after="280"/>
    </w:pPr>
  </w:style>
  <w:style w:type="paragraph" w:customStyle="1" w:styleId="xl86">
    <w:name w:val="xl8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88">
    <w:name w:val="xl88"/>
    <w:basedOn w:val="Normalny"/>
    <w:qFormat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89">
    <w:name w:val="xl89"/>
    <w:basedOn w:val="Normalny"/>
    <w:qFormat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90">
    <w:name w:val="xl9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1">
    <w:name w:val="xl91"/>
    <w:basedOn w:val="Normalny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2">
    <w:name w:val="xl9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93">
    <w:name w:val="xl9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  <w:rPr>
      <w:rFonts w:ascii="Arial" w:hAnsi="Arial" w:cs="Arial"/>
      <w:sz w:val="20"/>
      <w:szCs w:val="20"/>
    </w:rPr>
  </w:style>
  <w:style w:type="paragraph" w:customStyle="1" w:styleId="xl94">
    <w:name w:val="xl9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</w:style>
  <w:style w:type="paragraph" w:styleId="Podtytu">
    <w:name w:val="Subtitle"/>
    <w:basedOn w:val="Normalny"/>
    <w:next w:val="Normalny"/>
    <w:link w:val="PodtytuZnak"/>
    <w:qFormat/>
    <w:pPr>
      <w:keepNext/>
      <w:keepLines/>
      <w:spacing w:before="360" w:after="80" w:line="259" w:lineRule="auto"/>
      <w:jc w:val="right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tandardowyArial11">
    <w:name w:val="Standardowy + Arial 11"/>
    <w:basedOn w:val="tekstwstpny"/>
    <w:qFormat/>
    <w:pPr>
      <w:tabs>
        <w:tab w:val="left" w:pos="360"/>
      </w:tabs>
      <w:ind w:left="360" w:hanging="360"/>
      <w:jc w:val="both"/>
    </w:pPr>
    <w:rPr>
      <w:rFonts w:ascii="Arial" w:hAnsi="Arial" w:cs="Arial"/>
      <w:sz w:val="22"/>
      <w:szCs w:val="22"/>
    </w:rPr>
  </w:style>
  <w:style w:type="numbering" w:customStyle="1" w:styleId="Styl1">
    <w:name w:val="Styl1"/>
    <w:qFormat/>
  </w:style>
  <w:style w:type="numbering" w:customStyle="1" w:styleId="Biecalista1">
    <w:name w:val="Bieżąca lista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779</Words>
  <Characters>4679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MZ. Zapłotna</dc:creator>
  <dc:description/>
  <cp:lastModifiedBy>Marta MZ. Zapłotna</cp:lastModifiedBy>
  <cp:revision>4</cp:revision>
  <cp:lastPrinted>2024-07-05T12:13:00Z</cp:lastPrinted>
  <dcterms:created xsi:type="dcterms:W3CDTF">2025-08-06T12:06:00Z</dcterms:created>
  <dcterms:modified xsi:type="dcterms:W3CDTF">2025-09-22T12:48:00Z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6dbec8-95a8-4638-9f5f-bd076536645c_ActionId">
    <vt:lpwstr>58cf59a1-3d40-445e-804f-0ca24a154858</vt:lpwstr>
  </property>
  <property fmtid="{D5CDD505-2E9C-101B-9397-08002B2CF9AE}" pid="3" name="MSIP_Label_ff6dbec8-95a8-4638-9f5f-bd076536645c_ContentBits">
    <vt:lpwstr>0</vt:lpwstr>
  </property>
  <property fmtid="{D5CDD505-2E9C-101B-9397-08002B2CF9AE}" pid="4" name="MSIP_Label_ff6dbec8-95a8-4638-9f5f-bd076536645c_Enabled">
    <vt:lpwstr>true</vt:lpwstr>
  </property>
  <property fmtid="{D5CDD505-2E9C-101B-9397-08002B2CF9AE}" pid="5" name="MSIP_Label_ff6dbec8-95a8-4638-9f5f-bd076536645c_Method">
    <vt:lpwstr>Standard</vt:lpwstr>
  </property>
  <property fmtid="{D5CDD505-2E9C-101B-9397-08002B2CF9AE}" pid="6" name="MSIP_Label_ff6dbec8-95a8-4638-9f5f-bd076536645c_Name">
    <vt:lpwstr>Restricted - Default</vt:lpwstr>
  </property>
  <property fmtid="{D5CDD505-2E9C-101B-9397-08002B2CF9AE}" pid="7" name="MSIP_Label_ff6dbec8-95a8-4638-9f5f-bd076536645c_SetDate">
    <vt:lpwstr>2024-01-03T11:08:12Z</vt:lpwstr>
  </property>
  <property fmtid="{D5CDD505-2E9C-101B-9397-08002B2CF9AE}" pid="8" name="MSIP_Label_ff6dbec8-95a8-4638-9f5f-bd076536645c_SiteId">
    <vt:lpwstr>5dbf1add-202a-4b8d-815b-bf0fb024e033</vt:lpwstr>
  </property>
</Properties>
</file>