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14C1" w:rsidRDefault="00C414C1">
      <w:pPr>
        <w:pStyle w:val="Standard"/>
        <w:jc w:val="center"/>
        <w:rPr>
          <w:rFonts w:ascii="Arial" w:hAnsi="Arial" w:cs="Arial"/>
          <w:b/>
          <w:bCs/>
          <w:sz w:val="20"/>
          <w:szCs w:val="20"/>
        </w:rPr>
      </w:pPr>
    </w:p>
    <w:p w:rsidR="00C414C1" w:rsidRDefault="00554556" w:rsidP="003356F5">
      <w:pPr>
        <w:pStyle w:val="Nagwek2"/>
        <w:jc w:val="center"/>
        <w:rPr>
          <w:rFonts w:cs="Arial"/>
          <w:color w:val="auto"/>
        </w:rPr>
      </w:pPr>
      <w:r>
        <w:rPr>
          <w:rFonts w:cs="Arial"/>
          <w:color w:val="auto"/>
        </w:rPr>
        <w:t>ZESTAWIENIE WYMAGANYCH PARAMETRÓW TECHNICZNO – UŻYTKOWYCH</w:t>
      </w:r>
    </w:p>
    <w:p w:rsidR="00C414C1" w:rsidRDefault="00554556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OPIS PRZEDMIOTU ZAMÓWIENIA</w:t>
      </w:r>
    </w:p>
    <w:p w:rsidR="00B92C1C" w:rsidRDefault="00B92C1C" w:rsidP="00B92C1C">
      <w:pPr>
        <w:widowControl w:val="0"/>
        <w:jc w:val="center"/>
        <w:rPr>
          <w:rFonts w:eastAsia="Arial Unicode MS"/>
          <w:b/>
          <w:sz w:val="22"/>
          <w:szCs w:val="22"/>
          <w:u w:val="single"/>
          <w:lang w:eastAsia="ar-SA"/>
        </w:rPr>
      </w:pPr>
    </w:p>
    <w:p w:rsidR="00B92C1C" w:rsidRDefault="00B92C1C" w:rsidP="00B92C1C">
      <w:pPr>
        <w:widowControl w:val="0"/>
        <w:rPr>
          <w:rFonts w:eastAsia="Arial Unicode MS"/>
          <w:b/>
          <w:sz w:val="22"/>
          <w:szCs w:val="22"/>
          <w:u w:val="single"/>
          <w:lang w:eastAsia="ar-SA"/>
        </w:rPr>
      </w:pPr>
      <w:r>
        <w:rPr>
          <w:rFonts w:eastAsia="Arial Unicode MS"/>
          <w:b/>
          <w:sz w:val="22"/>
          <w:szCs w:val="22"/>
          <w:u w:val="single"/>
          <w:lang w:eastAsia="ar-SA"/>
        </w:rPr>
        <w:t xml:space="preserve">Zadanie nr </w:t>
      </w:r>
      <w:r w:rsidR="00E4317B">
        <w:rPr>
          <w:rFonts w:eastAsia="Arial Unicode MS"/>
          <w:b/>
          <w:sz w:val="22"/>
          <w:szCs w:val="22"/>
          <w:u w:val="single"/>
          <w:lang w:eastAsia="ar-SA"/>
        </w:rPr>
        <w:t>2</w:t>
      </w:r>
      <w:r w:rsidR="003356F5">
        <w:rPr>
          <w:rFonts w:eastAsia="Arial Unicode MS"/>
          <w:b/>
          <w:sz w:val="22"/>
          <w:szCs w:val="22"/>
          <w:u w:val="single"/>
          <w:lang w:eastAsia="ar-SA"/>
        </w:rPr>
        <w:t xml:space="preserve"> </w:t>
      </w:r>
      <w:r w:rsidR="002C6C47">
        <w:rPr>
          <w:rFonts w:eastAsia="Arial Unicode MS"/>
          <w:b/>
          <w:sz w:val="22"/>
          <w:szCs w:val="22"/>
          <w:u w:val="single"/>
          <w:lang w:eastAsia="ar-SA"/>
        </w:rPr>
        <w:t>–</w:t>
      </w:r>
      <w:r w:rsidR="00F95EA7">
        <w:rPr>
          <w:rFonts w:eastAsia="Arial Unicode MS"/>
          <w:b/>
          <w:sz w:val="22"/>
          <w:szCs w:val="22"/>
          <w:u w:val="single"/>
          <w:lang w:eastAsia="ar-SA"/>
        </w:rPr>
        <w:t xml:space="preserve"> </w:t>
      </w:r>
      <w:r w:rsidR="000D0FB1">
        <w:rPr>
          <w:rFonts w:eastAsia="Arial Unicode MS"/>
          <w:b/>
          <w:sz w:val="22"/>
          <w:szCs w:val="22"/>
          <w:u w:val="single"/>
          <w:lang w:eastAsia="ar-SA"/>
        </w:rPr>
        <w:t>Wózek do przewożenia chorych w pozycji leżącej</w:t>
      </w:r>
      <w:r>
        <w:rPr>
          <w:rFonts w:eastAsia="Arial Unicode MS"/>
          <w:b/>
          <w:sz w:val="22"/>
          <w:szCs w:val="22"/>
          <w:u w:val="single"/>
          <w:lang w:eastAsia="ar-SA"/>
        </w:rPr>
        <w:t xml:space="preserve"> </w:t>
      </w:r>
    </w:p>
    <w:p w:rsidR="00B92C1C" w:rsidRDefault="00B92C1C" w:rsidP="00B92C1C">
      <w:pPr>
        <w:widowControl w:val="0"/>
        <w:rPr>
          <w:rFonts w:eastAsia="Arial Unicode MS"/>
          <w:b/>
          <w:sz w:val="22"/>
          <w:szCs w:val="22"/>
          <w:u w:val="single"/>
          <w:lang w:eastAsia="ar-SA"/>
        </w:rPr>
      </w:pPr>
    </w:p>
    <w:p w:rsidR="00C414C1" w:rsidRDefault="00C414C1">
      <w:pPr>
        <w:tabs>
          <w:tab w:val="left" w:pos="4080"/>
        </w:tabs>
        <w:jc w:val="center"/>
        <w:rPr>
          <w:rStyle w:val="Domylnaczcionkaakapitu1"/>
          <w:b/>
        </w:rPr>
      </w:pPr>
    </w:p>
    <w:tbl>
      <w:tblPr>
        <w:tblW w:w="11058" w:type="dxa"/>
        <w:tblInd w:w="-998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058"/>
      </w:tblGrid>
      <w:tr w:rsidR="00C414C1">
        <w:trPr>
          <w:trHeight w:val="1045"/>
        </w:trPr>
        <w:tc>
          <w:tcPr>
            <w:tcW w:w="11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EAADB"/>
          </w:tcPr>
          <w:p w:rsidR="00C414C1" w:rsidRDefault="00C414C1">
            <w:pPr>
              <w:widowControl w:val="0"/>
              <w:tabs>
                <w:tab w:val="left" w:pos="4080"/>
              </w:tabs>
              <w:jc w:val="center"/>
              <w:rPr>
                <w:rStyle w:val="Domylnaczcionkaakapitu1"/>
              </w:rPr>
            </w:pPr>
          </w:p>
          <w:p w:rsidR="00C414C1" w:rsidRDefault="000D0FB1" w:rsidP="005B418D">
            <w:pPr>
              <w:widowControl w:val="0"/>
              <w:jc w:val="center"/>
              <w:rPr>
                <w:rStyle w:val="Domylnaczcionkaakapitu1"/>
                <w:b/>
              </w:rPr>
            </w:pPr>
            <w:r>
              <w:rPr>
                <w:rFonts w:eastAsia="Arial Unicode MS"/>
                <w:sz w:val="22"/>
                <w:szCs w:val="22"/>
                <w:u w:val="single"/>
                <w:lang w:eastAsia="ar-SA"/>
              </w:rPr>
              <w:t>Wózek do przewożenia chorych w pozycji leżącej</w:t>
            </w:r>
            <w:r w:rsidR="002C6C47">
              <w:rPr>
                <w:rFonts w:eastAsia="Arial Unicode MS"/>
                <w:sz w:val="22"/>
                <w:szCs w:val="22"/>
                <w:u w:val="single"/>
                <w:lang w:eastAsia="ar-SA"/>
              </w:rPr>
              <w:t xml:space="preserve"> – </w:t>
            </w:r>
            <w:r w:rsidR="005B418D">
              <w:rPr>
                <w:rFonts w:eastAsia="Arial Unicode MS"/>
                <w:sz w:val="22"/>
                <w:szCs w:val="22"/>
                <w:u w:val="single"/>
                <w:lang w:eastAsia="ar-SA"/>
              </w:rPr>
              <w:t>7</w:t>
            </w:r>
            <w:r w:rsidR="002C6C47">
              <w:rPr>
                <w:rFonts w:eastAsia="Arial Unicode MS"/>
                <w:sz w:val="22"/>
                <w:szCs w:val="22"/>
                <w:u w:val="single"/>
                <w:lang w:eastAsia="ar-SA"/>
              </w:rPr>
              <w:t xml:space="preserve"> </w:t>
            </w:r>
            <w:proofErr w:type="spellStart"/>
            <w:r w:rsidR="002C6C47">
              <w:rPr>
                <w:rFonts w:eastAsia="Arial Unicode MS"/>
                <w:sz w:val="22"/>
                <w:szCs w:val="22"/>
                <w:u w:val="single"/>
                <w:lang w:eastAsia="ar-SA"/>
              </w:rPr>
              <w:t>szt</w:t>
            </w:r>
            <w:proofErr w:type="spellEnd"/>
          </w:p>
        </w:tc>
      </w:tr>
    </w:tbl>
    <w:p w:rsidR="00C414C1" w:rsidRDefault="00C414C1">
      <w:pPr>
        <w:rPr>
          <w:b/>
          <w:sz w:val="18"/>
          <w:szCs w:val="18"/>
        </w:rPr>
      </w:pPr>
    </w:p>
    <w:tbl>
      <w:tblPr>
        <w:tblW w:w="11052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6"/>
        <w:gridCol w:w="5384"/>
        <w:gridCol w:w="1562"/>
        <w:gridCol w:w="3400"/>
      </w:tblGrid>
      <w:tr w:rsidR="00C414C1">
        <w:trPr>
          <w:trHeight w:val="442"/>
          <w:jc w:val="center"/>
        </w:trPr>
        <w:tc>
          <w:tcPr>
            <w:tcW w:w="110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Producent/kraj:</w:t>
            </w:r>
          </w:p>
        </w:tc>
      </w:tr>
      <w:tr w:rsidR="00C414C1">
        <w:trPr>
          <w:trHeight w:val="421"/>
          <w:jc w:val="center"/>
        </w:trPr>
        <w:tc>
          <w:tcPr>
            <w:tcW w:w="110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Model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val="en-US"/>
              </w:rPr>
              <w:t>aparatu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val="en-US"/>
              </w:rPr>
              <w:t>:</w:t>
            </w:r>
          </w:p>
        </w:tc>
      </w:tr>
      <w:tr w:rsidR="00C414C1">
        <w:trPr>
          <w:trHeight w:val="90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C414C1" w:rsidRDefault="00554556">
            <w:pPr>
              <w:widowControl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Lp.</w:t>
            </w:r>
          </w:p>
          <w:p w:rsidR="00C414C1" w:rsidRDefault="00C414C1">
            <w:pPr>
              <w:widowControl w:val="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</w:tcPr>
          <w:p w:rsidR="00C414C1" w:rsidRDefault="00C414C1">
            <w:pPr>
              <w:widowControl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="00C414C1" w:rsidRDefault="00554556">
            <w:pPr>
              <w:widowControl w:val="0"/>
              <w:jc w:val="center"/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Warunki wymagane </w:t>
            </w:r>
            <w:r>
              <w:rPr>
                <w:rFonts w:ascii="Arial" w:hAnsi="Arial"/>
                <w:b/>
                <w:sz w:val="22"/>
                <w:szCs w:val="22"/>
              </w:rPr>
              <w:t>i podlegające ocenie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C414C1" w:rsidRDefault="00554556">
            <w:pPr>
              <w:pStyle w:val="Zawartotabeli"/>
              <w:jc w:val="center"/>
              <w:rPr>
                <w:rFonts w:cs="Arial"/>
                <w:b/>
                <w:bCs/>
                <w:szCs w:val="22"/>
              </w:rPr>
            </w:pPr>
            <w:r>
              <w:rPr>
                <w:rFonts w:cs="Arial"/>
                <w:b/>
                <w:bCs/>
                <w:szCs w:val="22"/>
              </w:rPr>
              <w:t>Wartość wymagana</w:t>
            </w:r>
          </w:p>
          <w:p w:rsidR="00C414C1" w:rsidRDefault="00554556">
            <w:pPr>
              <w:widowControl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TAK/NIE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</w:tcPr>
          <w:p w:rsidR="00C414C1" w:rsidRDefault="00554556">
            <w:pPr>
              <w:widowControl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Wartość oferowana. Potwierdzenie parametru, numery katalogowe</w:t>
            </w:r>
          </w:p>
        </w:tc>
      </w:tr>
      <w:tr w:rsidR="00C414C1">
        <w:trPr>
          <w:trHeight w:val="359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C414C1" w:rsidRPr="0052157F" w:rsidRDefault="00554556">
            <w:pPr>
              <w:widowControl w:val="0"/>
              <w:jc w:val="center"/>
              <w:rPr>
                <w:rFonts w:asciiTheme="minorHAnsi" w:hAnsiTheme="minorHAnsi" w:cstheme="minorHAnsi"/>
                <w:b/>
              </w:rPr>
            </w:pPr>
            <w:r w:rsidRPr="0052157F">
              <w:rPr>
                <w:rFonts w:asciiTheme="minorHAnsi" w:hAnsiTheme="minorHAnsi" w:cstheme="minorHAnsi"/>
                <w:b/>
              </w:rPr>
              <w:t>1</w:t>
            </w: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C414C1" w:rsidRPr="0052157F" w:rsidRDefault="00554556">
            <w:pPr>
              <w:widowControl w:val="0"/>
              <w:jc w:val="center"/>
              <w:rPr>
                <w:rFonts w:asciiTheme="minorHAnsi" w:hAnsiTheme="minorHAnsi" w:cstheme="minorHAnsi"/>
                <w:b/>
              </w:rPr>
            </w:pPr>
            <w:r w:rsidRPr="0052157F">
              <w:rPr>
                <w:rFonts w:asciiTheme="minorHAnsi" w:hAnsiTheme="minorHAnsi" w:cstheme="minorHAnsi"/>
                <w:b/>
              </w:rPr>
              <w:t>2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C414C1" w:rsidRPr="0052157F" w:rsidRDefault="00554556">
            <w:pPr>
              <w:pStyle w:val="Zawartotabeli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52157F">
              <w:rPr>
                <w:rFonts w:asciiTheme="minorHAnsi" w:hAnsiTheme="minorHAnsi" w:cstheme="minorHAnsi"/>
                <w:b/>
                <w:sz w:val="24"/>
                <w:szCs w:val="24"/>
              </w:rPr>
              <w:t>3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C414C1" w:rsidRPr="0052157F" w:rsidRDefault="00554556">
            <w:pPr>
              <w:widowControl w:val="0"/>
              <w:jc w:val="center"/>
              <w:rPr>
                <w:rFonts w:asciiTheme="minorHAnsi" w:hAnsiTheme="minorHAnsi" w:cstheme="minorHAnsi"/>
                <w:b/>
              </w:rPr>
            </w:pPr>
            <w:r w:rsidRPr="0052157F">
              <w:rPr>
                <w:rFonts w:asciiTheme="minorHAnsi" w:hAnsiTheme="minorHAnsi" w:cstheme="minorHAnsi"/>
                <w:b/>
              </w:rPr>
              <w:t>4</w:t>
            </w:r>
          </w:p>
        </w:tc>
      </w:tr>
      <w:tr w:rsidR="00C414C1">
        <w:trPr>
          <w:trHeight w:val="532"/>
          <w:jc w:val="center"/>
        </w:trPr>
        <w:tc>
          <w:tcPr>
            <w:tcW w:w="110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C414C1" w:rsidRDefault="00554556">
            <w:pPr>
              <w:pStyle w:val="Akapitzlist"/>
              <w:widowControl w:val="0"/>
              <w:ind w:left="1080" w:hanging="1080"/>
              <w:jc w:val="center"/>
              <w:rPr>
                <w:rFonts w:ascii="Calibri" w:hAnsi="Calibri" w:cs="Calibri"/>
                <w:b/>
                <w:sz w:val="22"/>
                <w:szCs w:val="22"/>
                <w:lang w:val="pl-PL"/>
              </w:rPr>
            </w:pPr>
            <w:r>
              <w:rPr>
                <w:rFonts w:ascii="Calibri" w:hAnsi="Calibri" w:cs="Calibri"/>
                <w:b/>
                <w:sz w:val="22"/>
                <w:szCs w:val="22"/>
                <w:lang w:val="pl-PL"/>
              </w:rPr>
              <w:t>WYMAGANIA OGÓLNE</w:t>
            </w:r>
          </w:p>
        </w:tc>
      </w:tr>
      <w:tr w:rsidR="00C414C1">
        <w:trPr>
          <w:trHeight w:val="709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8007EB" w:rsidRDefault="00B92C1C">
            <w:pPr>
              <w:pStyle w:val="western"/>
              <w:widowControl w:val="0"/>
              <w:spacing w:before="0" w:after="0" w:line="240" w:lineRule="auto"/>
              <w:rPr>
                <w:rFonts w:ascii="Calibri" w:hAnsi="Calibri" w:cs="Calibri"/>
                <w:sz w:val="22"/>
                <w:szCs w:val="22"/>
              </w:rPr>
            </w:pPr>
            <w:r w:rsidRPr="008007EB">
              <w:rPr>
                <w:rFonts w:ascii="Calibri" w:hAnsi="Calibri" w:cs="Calibri"/>
                <w:sz w:val="22"/>
                <w:szCs w:val="22"/>
              </w:rPr>
              <w:t>Sprzęt</w:t>
            </w:r>
            <w:r w:rsidR="00FF42CA" w:rsidRPr="008007EB">
              <w:rPr>
                <w:rFonts w:ascii="Calibri" w:hAnsi="Calibri" w:cs="Calibri"/>
                <w:sz w:val="22"/>
                <w:szCs w:val="22"/>
              </w:rPr>
              <w:t xml:space="preserve"> nowy, </w:t>
            </w:r>
            <w:r w:rsidR="00554556" w:rsidRPr="008007EB">
              <w:rPr>
                <w:rFonts w:ascii="Calibri" w:hAnsi="Calibri" w:cs="Calibri"/>
                <w:sz w:val="22"/>
                <w:szCs w:val="22"/>
              </w:rPr>
              <w:t xml:space="preserve">nieużywany, nie </w:t>
            </w:r>
            <w:proofErr w:type="spellStart"/>
            <w:r w:rsidR="00554556" w:rsidRPr="008007EB">
              <w:rPr>
                <w:rFonts w:ascii="Calibri" w:hAnsi="Calibri" w:cs="Calibri"/>
                <w:sz w:val="22"/>
                <w:szCs w:val="22"/>
              </w:rPr>
              <w:t>rekondycjonowany</w:t>
            </w:r>
            <w:proofErr w:type="spellEnd"/>
            <w:r w:rsidR="00554556" w:rsidRPr="008007EB">
              <w:rPr>
                <w:rFonts w:ascii="Calibri" w:hAnsi="Calibri" w:cs="Calibri"/>
                <w:sz w:val="22"/>
                <w:szCs w:val="22"/>
              </w:rPr>
              <w:t xml:space="preserve">, </w:t>
            </w:r>
            <w:r w:rsidR="00FF42CA" w:rsidRPr="008007EB">
              <w:rPr>
                <w:rFonts w:ascii="Calibri" w:hAnsi="Calibri" w:cs="Calibri"/>
                <w:sz w:val="22"/>
                <w:szCs w:val="22"/>
              </w:rPr>
              <w:t xml:space="preserve">nie demonstracyjny, </w:t>
            </w:r>
            <w:r w:rsidR="00554556" w:rsidRPr="008007EB">
              <w:rPr>
                <w:rFonts w:ascii="Calibri" w:hAnsi="Calibri" w:cs="Calibri"/>
                <w:sz w:val="22"/>
                <w:szCs w:val="22"/>
              </w:rPr>
              <w:t>w najnowszej wersji sprzętowej i oprogramowania na dzień składania oferty.</w:t>
            </w:r>
          </w:p>
          <w:p w:rsidR="00D949B0" w:rsidRPr="008007EB" w:rsidRDefault="00FF42CA" w:rsidP="008E086D">
            <w:pPr>
              <w:pStyle w:val="western"/>
              <w:widowControl w:val="0"/>
              <w:spacing w:before="0" w:after="0" w:line="240" w:lineRule="auto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8007E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Rok produkcji nie starszy niż 202</w:t>
            </w:r>
            <w:r w:rsidR="008E086D" w:rsidRPr="008007E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4</w:t>
            </w:r>
            <w:r w:rsidRPr="008007E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 xml:space="preserve"> rok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 w:rsidTr="001B29F0">
        <w:trPr>
          <w:trHeight w:val="475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8007EB" w:rsidRDefault="008007EB" w:rsidP="00BE5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8007EB">
              <w:rPr>
                <w:rFonts w:ascii="Calibri" w:hAnsi="Calibri" w:cs="Calibri"/>
                <w:color w:val="000000"/>
                <w:sz w:val="22"/>
                <w:szCs w:val="22"/>
              </w:rPr>
              <w:t>Wózek przeznaczony do przewożenia pacjentów w pozycji leżącej, drobnych zabiegów i krótkiego pobytu (leczenia i rekonwalescencji)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6D4D1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7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8007EB" w:rsidRDefault="008007EB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8007E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Konstrukcja wózka wykonana ze stali lakierowanej proszkowo oparta na </w:t>
            </w:r>
            <w:r w:rsidRPr="008007E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2 kolumn</w:t>
            </w:r>
            <w:bookmarkStart w:id="0" w:name="_GoBack"/>
            <w:bookmarkEnd w:id="0"/>
            <w:r w:rsidRPr="008007E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ach cylindrycznych z osłoną o gładkiej powierzchni łatwej do dezynfekcji</w:t>
            </w:r>
            <w:r w:rsidRPr="008007E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(</w:t>
            </w:r>
            <w:proofErr w:type="gramStart"/>
            <w:r w:rsidRPr="008007EB">
              <w:rPr>
                <w:rFonts w:ascii="Calibri" w:hAnsi="Calibri" w:cs="Calibri"/>
                <w:color w:val="000000"/>
                <w:sz w:val="22"/>
                <w:szCs w:val="22"/>
              </w:rPr>
              <w:t>nie osłoniętych</w:t>
            </w:r>
            <w:proofErr w:type="gramEnd"/>
            <w:r w:rsidRPr="008007E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tworzywem składającym się w harmonijkę).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6D4D1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7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8007EB" w:rsidRDefault="008007EB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8007E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Platforma leża 2 segmentowa wykonana w formie jednolitego odlewu, zaokrąglona (bez ostrych krawędzi i rogów), łatwa do dezynfekcji, wykonana z tworzywa sztucznego odpornego na działanie środków chemicznych i uszkodzeń</w:t>
            </w:r>
            <w:r w:rsidRPr="008007EB">
              <w:rPr>
                <w:rFonts w:ascii="Calibri" w:hAnsi="Calibri" w:cs="Calibri"/>
                <w:color w:val="000000"/>
                <w:sz w:val="22"/>
                <w:szCs w:val="22"/>
              </w:rPr>
              <w:t>.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6D4D1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  <w:shd w:val="clear" w:color="auto" w:fill="FFFF00"/>
              </w:rPr>
            </w:pPr>
          </w:p>
        </w:tc>
      </w:tr>
      <w:tr w:rsidR="00C414C1">
        <w:trPr>
          <w:trHeight w:val="187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8007EB" w:rsidRDefault="008007EB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8007E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Podwozie zabudowane pokrywą z tworzywa </w:t>
            </w:r>
            <w:proofErr w:type="gramStart"/>
            <w:r w:rsidRPr="008007EB">
              <w:rPr>
                <w:rFonts w:ascii="Calibri" w:hAnsi="Calibri" w:cs="Calibri"/>
                <w:color w:val="000000"/>
                <w:sz w:val="22"/>
                <w:szCs w:val="22"/>
              </w:rPr>
              <w:t>sztucznego  z</w:t>
            </w:r>
            <w:proofErr w:type="gramEnd"/>
            <w:r w:rsidRPr="008007E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 miejscem do przechowywania rzeczy pacjenta lub dodatkowego sprzętu.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6D4D1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pStyle w:val="Bezodstpw"/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 w:rsidTr="00F42F5B">
        <w:trPr>
          <w:trHeight w:val="121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8007EB" w:rsidRDefault="008007EB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8007E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Możliwość zamontowania pionowego uchwytu na butlę z tlenem montowany bez użycia dodatkowych narzędzi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>
            <w:pPr>
              <w:widowControl w:val="0"/>
              <w:rPr>
                <w:rFonts w:ascii="Calibri" w:hAnsi="Calibri" w:cs="Calibri"/>
              </w:rPr>
            </w:pPr>
          </w:p>
        </w:tc>
      </w:tr>
      <w:tr w:rsidR="00C414C1">
        <w:trPr>
          <w:trHeight w:val="121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8007EB" w:rsidRDefault="008007EB">
            <w:pPr>
              <w:pStyle w:val="western"/>
              <w:widowControl w:val="0"/>
              <w:spacing w:before="0" w:after="0" w:line="240" w:lineRule="auto"/>
              <w:rPr>
                <w:rFonts w:ascii="Calibri" w:hAnsi="Calibri" w:cs="Calibri"/>
                <w:sz w:val="22"/>
                <w:szCs w:val="22"/>
              </w:rPr>
            </w:pPr>
            <w:r w:rsidRPr="008007EB">
              <w:rPr>
                <w:rFonts w:ascii="Calibri" w:hAnsi="Calibri" w:cs="Calibri"/>
                <w:color w:val="000000"/>
                <w:sz w:val="22"/>
                <w:szCs w:val="22"/>
              </w:rPr>
              <w:t>Rozstaw pomiędzy kolumnami 1100 mm +/- 20 mm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  <w:shd w:val="clear" w:color="auto" w:fill="FFFF00"/>
              </w:rPr>
            </w:pPr>
          </w:p>
        </w:tc>
      </w:tr>
      <w:tr w:rsidR="00C414C1" w:rsidTr="008007EB">
        <w:trPr>
          <w:trHeight w:val="121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C414C1" w:rsidRPr="008007EB" w:rsidRDefault="008007EB">
            <w:pPr>
              <w:pStyle w:val="western"/>
              <w:widowControl w:val="0"/>
              <w:spacing w:before="0" w:after="0" w:line="240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007E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Dopuszczalne obciążenie robocze wózka (waga pacjent+ osprzęt i dodatkowe </w:t>
            </w:r>
            <w:proofErr w:type="gramStart"/>
            <w:r w:rsidRPr="008007EB">
              <w:rPr>
                <w:rFonts w:ascii="Calibri" w:hAnsi="Calibri" w:cs="Calibri"/>
                <w:color w:val="000000"/>
                <w:sz w:val="22"/>
                <w:szCs w:val="22"/>
              </w:rPr>
              <w:t>urządzenia) -  230 kg</w:t>
            </w:r>
            <w:proofErr w:type="gramEnd"/>
            <w:r w:rsidRPr="008007E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i dopuszczalna waga przewożonego pacjenta  min. 200 kg</w:t>
            </w:r>
          </w:p>
          <w:p w:rsidR="008007EB" w:rsidRPr="008007EB" w:rsidRDefault="008007EB" w:rsidP="008007EB">
            <w:pPr>
              <w:spacing w:before="20" w:after="20"/>
              <w:rPr>
                <w:rFonts w:ascii="Calibri" w:hAnsi="Calibri" w:cs="Calibri"/>
                <w:b/>
                <w:sz w:val="22"/>
                <w:szCs w:val="22"/>
                <w:u w:val="single"/>
              </w:rPr>
            </w:pPr>
            <w:r w:rsidRPr="008007EB">
              <w:rPr>
                <w:rFonts w:ascii="Calibri" w:hAnsi="Calibri" w:cs="Calibri"/>
                <w:b/>
                <w:sz w:val="22"/>
                <w:szCs w:val="22"/>
                <w:u w:val="single"/>
              </w:rPr>
              <w:t>Zasady oceny punktowej:</w:t>
            </w:r>
          </w:p>
          <w:p w:rsidR="008007EB" w:rsidRPr="008007EB" w:rsidRDefault="008007EB">
            <w:pPr>
              <w:pStyle w:val="western"/>
              <w:widowControl w:val="0"/>
              <w:spacing w:before="0" w:after="0" w:line="240" w:lineRule="auto"/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 w:rsidRPr="008007EB">
              <w:rPr>
                <w:rFonts w:ascii="Calibri" w:hAnsi="Calibri" w:cs="Calibri"/>
                <w:color w:val="000000"/>
                <w:sz w:val="22"/>
                <w:szCs w:val="22"/>
              </w:rPr>
              <w:t>min</w:t>
            </w:r>
            <w:proofErr w:type="gramEnd"/>
            <w:r w:rsidRPr="008007EB">
              <w:rPr>
                <w:rFonts w:ascii="Calibri" w:hAnsi="Calibri" w:cs="Calibri"/>
                <w:color w:val="000000"/>
                <w:sz w:val="22"/>
                <w:szCs w:val="22"/>
              </w:rPr>
              <w:t>. 230 / 200 kg - 0 pkt</w:t>
            </w:r>
            <w:r w:rsidRPr="008007EB">
              <w:rPr>
                <w:rFonts w:ascii="Calibri" w:hAnsi="Calibri" w:cs="Calibri"/>
                <w:color w:val="000000"/>
                <w:sz w:val="22"/>
                <w:szCs w:val="22"/>
              </w:rPr>
              <w:br/>
              <w:t>powyżej - 10 pkt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C414C1" w:rsidRPr="00554556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54556"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C414C1" w:rsidRDefault="00C414C1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  <w:shd w:val="clear" w:color="auto" w:fill="FFFF00"/>
              </w:rPr>
            </w:pPr>
          </w:p>
        </w:tc>
      </w:tr>
      <w:tr w:rsidR="00C414C1">
        <w:trPr>
          <w:trHeight w:val="121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8007EB" w:rsidRDefault="008007EB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8007E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Długość całkowita </w:t>
            </w:r>
            <w:proofErr w:type="gramStart"/>
            <w:r w:rsidRPr="008007EB">
              <w:rPr>
                <w:rFonts w:ascii="Calibri" w:hAnsi="Calibri" w:cs="Calibri"/>
                <w:color w:val="000000"/>
                <w:sz w:val="22"/>
                <w:szCs w:val="22"/>
              </w:rPr>
              <w:t>wózka  2170 mm</w:t>
            </w:r>
            <w:proofErr w:type="gramEnd"/>
            <w:r w:rsidRPr="008007E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(+/-50 mm)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554556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54556"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  <w:shd w:val="clear" w:color="auto" w:fill="FFFF00"/>
              </w:rPr>
            </w:pPr>
          </w:p>
        </w:tc>
      </w:tr>
      <w:tr w:rsidR="00C414C1" w:rsidTr="008007EB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8007EB" w:rsidRDefault="008007EB" w:rsidP="00C40B27">
            <w:pPr>
              <w:rPr>
                <w:rFonts w:ascii="Calibri" w:hAnsi="Calibri" w:cs="Calibri"/>
                <w:sz w:val="22"/>
                <w:szCs w:val="22"/>
              </w:rPr>
            </w:pPr>
            <w:r w:rsidRPr="008007EB">
              <w:rPr>
                <w:rFonts w:ascii="Calibri" w:hAnsi="Calibri" w:cs="Calibri"/>
                <w:color w:val="000000"/>
                <w:sz w:val="22"/>
                <w:szCs w:val="22"/>
              </w:rPr>
              <w:t>Szerokość całkowita wózka z opuszczonymi barierkami 700 mm (+/-50 mm)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Tak/podać 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 w:rsidTr="00AC3234">
        <w:trPr>
          <w:trHeight w:val="870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8007EB" w:rsidRDefault="008007EB" w:rsidP="008007EB">
            <w:pPr>
              <w:pStyle w:val="western"/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8007EB">
              <w:rPr>
                <w:rFonts w:ascii="Calibri" w:hAnsi="Calibri" w:cs="Calibri"/>
                <w:color w:val="000000"/>
                <w:sz w:val="22"/>
                <w:szCs w:val="22"/>
              </w:rPr>
              <w:t>Szerokość całkowita wózka z podniesionymi barierkami 800 mm (+/-50 mm)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6D4D16" w:rsidP="006D4D1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color w:val="C9211E"/>
              </w:rPr>
            </w:pPr>
          </w:p>
        </w:tc>
      </w:tr>
      <w:tr w:rsidR="00C414C1" w:rsidTr="00F42F5B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940265" w:rsidRPr="008007EB" w:rsidRDefault="008007EB" w:rsidP="00C40B27">
            <w:pPr>
              <w:widowControl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 w:rsidRPr="008007EB">
              <w:rPr>
                <w:rFonts w:ascii="Calibri" w:hAnsi="Calibri" w:cs="Calibri"/>
                <w:color w:val="000000"/>
                <w:sz w:val="22"/>
                <w:szCs w:val="22"/>
              </w:rPr>
              <w:t>Wymiary leża (przestrzeń dla pacjenta): długość min 190 cm, szerokość min. 60 cm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6D4D16" w:rsidP="006D4D1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color w:val="C9211E"/>
              </w:rPr>
            </w:pPr>
          </w:p>
        </w:tc>
      </w:tr>
      <w:tr w:rsidR="00C414C1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8007EB" w:rsidRDefault="008007EB" w:rsidP="00C40B2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8007E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Składane, ergonomiczne rączki</w:t>
            </w:r>
            <w:r w:rsidRPr="008007E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do prowadzenia wózka zlokalizowane od strony głowy i nóg pacjenta ułatwiające dostęp do pacjenta.  </w:t>
            </w:r>
            <w:r w:rsidRPr="008007E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Rączki składane poniżej poziomu materaca.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8007EB" w:rsidRDefault="008007EB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8007E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Wózek wyposażony </w:t>
            </w:r>
            <w:r w:rsidRPr="008007E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w piąte koło kierunkowe</w:t>
            </w:r>
            <w:r w:rsidRPr="008007E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z funkcją jazdy swobodnej bądź kierunkowej.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 w:rsidTr="008E086D">
        <w:trPr>
          <w:trHeight w:val="709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8007EB" w:rsidRDefault="008007EB" w:rsidP="00C40B2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8007EB">
              <w:rPr>
                <w:rFonts w:ascii="Calibri" w:hAnsi="Calibri" w:cs="Calibri"/>
                <w:color w:val="000000"/>
                <w:sz w:val="22"/>
                <w:szCs w:val="22"/>
              </w:rPr>
              <w:t>Pojedyncze koła o średnicy min</w:t>
            </w:r>
            <w:r w:rsidRPr="008007E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 xml:space="preserve"> 20 cm</w:t>
            </w:r>
            <w:r w:rsidR="001E4462">
              <w:rPr>
                <w:rFonts w:ascii="Calibri" w:hAnsi="Calibri" w:cs="Calibri"/>
                <w:color w:val="000000"/>
                <w:sz w:val="22"/>
                <w:szCs w:val="22"/>
              </w:rPr>
              <w:t>, antystatyczne,</w:t>
            </w:r>
            <w:r w:rsidRPr="008007E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bez widocznej metalowej osi obrotu zaopatrzone w osłony zabezpieczające mechanizm kół przed zanieczyszczeniem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F42F5B" w:rsidTr="008E086D">
        <w:trPr>
          <w:trHeight w:val="709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F42F5B" w:rsidRDefault="00F42F5B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F42F5B" w:rsidRPr="008007EB" w:rsidRDefault="008007EB" w:rsidP="00C40B2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8007E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Hydrauliczna regulacja wysokości</w:t>
            </w:r>
            <w:r w:rsidRPr="008007E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leża dostępna z obu stron wózka, za pomocą dźwigni nożnej w zakresie </w:t>
            </w:r>
            <w:r w:rsidRPr="008007E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 xml:space="preserve">60 – 90 </w:t>
            </w:r>
            <w:proofErr w:type="gramStart"/>
            <w:r w:rsidRPr="008007E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cm</w:t>
            </w:r>
            <w:r w:rsidRPr="008007E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 (+/- 1 cm</w:t>
            </w:r>
            <w:proofErr w:type="gramEnd"/>
            <w:r w:rsidRPr="008007EB">
              <w:rPr>
                <w:rFonts w:ascii="Calibri" w:hAnsi="Calibri" w:cs="Calibri"/>
                <w:color w:val="000000"/>
                <w:sz w:val="22"/>
                <w:szCs w:val="22"/>
              </w:rPr>
              <w:t>)(mierzone od podłoża do górnej płaszczyzny leża bez materaca)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F42F5B" w:rsidRDefault="00F42F5B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F42F5B" w:rsidRDefault="00F42F5B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F42F5B" w:rsidTr="008E086D">
        <w:trPr>
          <w:trHeight w:val="709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F42F5B" w:rsidRDefault="00F42F5B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F42F5B" w:rsidRPr="008007EB" w:rsidRDefault="008007EB" w:rsidP="001C37B1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8007E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Wózek wyposażony w centralny system hamulcowy,</w:t>
            </w:r>
            <w:r w:rsidRPr="008007E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z jednoczesnym blokowaniem </w:t>
            </w:r>
            <w:proofErr w:type="gramStart"/>
            <w:r w:rsidRPr="008007EB">
              <w:rPr>
                <w:rFonts w:ascii="Calibri" w:hAnsi="Calibri" w:cs="Calibri"/>
                <w:color w:val="000000"/>
                <w:sz w:val="22"/>
                <w:szCs w:val="22"/>
              </w:rPr>
              <w:t>wszystkich kół, co</w:t>
            </w:r>
            <w:proofErr w:type="gramEnd"/>
            <w:r w:rsidRPr="008007E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do obrotu wokół osi, toczenia i sterowania kierunkiem jazdy, z wyraźnym zaznaczeniem kolorystycznym blokady hamulców (czerwony) i funkcji jazdy kierunkowej (zielony).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F42F5B" w:rsidRDefault="00F42F5B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F42F5B" w:rsidRDefault="00F42F5B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F42F5B" w:rsidTr="008007EB">
        <w:trPr>
          <w:trHeight w:val="709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F42F5B" w:rsidRDefault="00F42F5B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F42F5B" w:rsidRPr="008007EB" w:rsidRDefault="008007EB" w:rsidP="001C37B1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8007EB">
              <w:rPr>
                <w:rFonts w:ascii="Calibri" w:hAnsi="Calibri" w:cs="Calibri"/>
                <w:color w:val="000000"/>
                <w:sz w:val="22"/>
                <w:szCs w:val="22"/>
              </w:rPr>
              <w:t>Centralny system blokowania kół</w:t>
            </w:r>
            <w:r w:rsidR="001E4462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r w:rsidRPr="008007EB">
              <w:rPr>
                <w:rFonts w:ascii="Calibri" w:hAnsi="Calibri" w:cs="Calibri"/>
                <w:color w:val="000000"/>
                <w:sz w:val="22"/>
                <w:szCs w:val="22"/>
              </w:rPr>
              <w:t>obsługiwany z dwóch stron wózka jedną dźwignią nożną, trójpozycyjny – jazda swobodna, jazda kierunkowa, hamulec.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F42F5B" w:rsidRDefault="00627A55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F42F5B" w:rsidRDefault="00F42F5B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F42F5B" w:rsidTr="00F42F5B">
        <w:trPr>
          <w:trHeight w:val="709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F42F5B" w:rsidRDefault="00F42F5B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F42F5B" w:rsidRPr="008007EB" w:rsidRDefault="008007EB" w:rsidP="00F42F5B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8007E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Barierki boczne chromowane, składane</w:t>
            </w:r>
            <w:r w:rsidRPr="008007E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z gładką, wyprofilowaną powierzchnią tworzywową w kolorze czerwonym ułatwiającą prowadzenie wózka oraz </w:t>
            </w:r>
            <w:proofErr w:type="gramStart"/>
            <w:r w:rsidRPr="008007EB">
              <w:rPr>
                <w:rFonts w:ascii="Calibri" w:hAnsi="Calibri" w:cs="Calibri"/>
                <w:color w:val="000000"/>
                <w:sz w:val="22"/>
                <w:szCs w:val="22"/>
              </w:rPr>
              <w:t>nie rysującą</w:t>
            </w:r>
            <w:proofErr w:type="gramEnd"/>
            <w:r w:rsidRPr="008007E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ścian. </w:t>
            </w:r>
            <w:r w:rsidRPr="008007E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Barierki boczne chowane pod leże</w:t>
            </w:r>
            <w:r w:rsidRPr="008007E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gwarantujące brak przerw transferowych. Wyprofilowane barierki z uchwytami do pchania/ciągnięcia na końcu wózka od strony nóg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F42F5B" w:rsidRDefault="00627A55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F42F5B" w:rsidRDefault="00F42F5B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 w:rsidTr="008007EB">
        <w:trPr>
          <w:trHeight w:val="314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C414C1" w:rsidRPr="008007EB" w:rsidRDefault="008007EB">
            <w:pPr>
              <w:widowControl w:val="0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007E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Regulacja segmentu pleców</w:t>
            </w:r>
            <w:r w:rsidRPr="008007E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manualna ze wspomaganiem sprężyn gazowych w zakresie od </w:t>
            </w:r>
            <w:r w:rsidRPr="008007E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0°-70°.</w:t>
            </w:r>
          </w:p>
          <w:p w:rsidR="008007EB" w:rsidRPr="008007EB" w:rsidRDefault="008007EB" w:rsidP="008007EB">
            <w:pPr>
              <w:spacing w:before="20" w:after="20"/>
              <w:rPr>
                <w:rFonts w:ascii="Calibri" w:hAnsi="Calibri" w:cs="Calibri"/>
                <w:b/>
                <w:sz w:val="22"/>
                <w:szCs w:val="22"/>
                <w:u w:val="single"/>
              </w:rPr>
            </w:pPr>
            <w:r w:rsidRPr="008007EB">
              <w:rPr>
                <w:rFonts w:ascii="Calibri" w:hAnsi="Calibri" w:cs="Calibri"/>
                <w:b/>
                <w:sz w:val="22"/>
                <w:szCs w:val="22"/>
                <w:u w:val="single"/>
              </w:rPr>
              <w:t>Zasady oceny punktowej:</w:t>
            </w:r>
          </w:p>
          <w:p w:rsidR="008007EB" w:rsidRPr="008007EB" w:rsidRDefault="008007EB">
            <w:pPr>
              <w:widowControl w:val="0"/>
              <w:rPr>
                <w:rFonts w:ascii="Calibri" w:hAnsi="Calibri" w:cs="Calibri"/>
                <w:color w:val="C9211E"/>
                <w:sz w:val="22"/>
                <w:szCs w:val="22"/>
              </w:rPr>
            </w:pPr>
            <w:r w:rsidRPr="008007EB">
              <w:rPr>
                <w:rFonts w:ascii="Calibri" w:hAnsi="Calibri" w:cs="Calibri"/>
                <w:color w:val="000000"/>
                <w:sz w:val="22"/>
                <w:szCs w:val="22"/>
              </w:rPr>
              <w:t>0°-70° - 0 pkt</w:t>
            </w:r>
            <w:r w:rsidRPr="008007EB">
              <w:rPr>
                <w:rFonts w:ascii="Calibri" w:hAnsi="Calibri" w:cs="Calibri"/>
                <w:color w:val="000000"/>
                <w:sz w:val="22"/>
                <w:szCs w:val="22"/>
              </w:rPr>
              <w:br/>
              <w:t>szerszy zakres - 10 pkt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C414C1" w:rsidRDefault="00C414C1">
            <w:pPr>
              <w:widowControl w:val="0"/>
              <w:snapToGrid w:val="0"/>
              <w:jc w:val="center"/>
              <w:rPr>
                <w:rFonts w:ascii="Calibri" w:hAnsi="Calibri" w:cs="Calibri"/>
                <w:color w:val="C9211E"/>
                <w:sz w:val="22"/>
                <w:szCs w:val="22"/>
              </w:rPr>
            </w:pPr>
          </w:p>
          <w:p w:rsidR="00C414C1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color w:val="C9211E"/>
                <w:sz w:val="22"/>
                <w:szCs w:val="22"/>
              </w:rPr>
            </w:pPr>
            <w:r w:rsidRPr="00554556">
              <w:rPr>
                <w:rFonts w:ascii="Calibri" w:hAnsi="Calibri" w:cs="Calibri"/>
                <w:sz w:val="22"/>
                <w:szCs w:val="22"/>
              </w:rPr>
              <w:t>Tak/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554556">
              <w:rPr>
                <w:rFonts w:ascii="Calibri" w:hAnsi="Calibri" w:cs="Calibri"/>
                <w:sz w:val="22"/>
                <w:szCs w:val="22"/>
              </w:rPr>
              <w:t>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 w:rsidTr="008007EB">
        <w:trPr>
          <w:trHeight w:val="452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C414C1" w:rsidRPr="008007EB" w:rsidRDefault="008007EB" w:rsidP="008007EB">
            <w:pPr>
              <w:pStyle w:val="Bezodstpw"/>
              <w:widowControl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007E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 xml:space="preserve">Pozycja </w:t>
            </w:r>
            <w:proofErr w:type="spellStart"/>
            <w:r w:rsidRPr="008007E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Trendelenburga</w:t>
            </w:r>
            <w:proofErr w:type="spellEnd"/>
            <w:r w:rsidRPr="008007E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/ anty-</w:t>
            </w:r>
            <w:proofErr w:type="spellStart"/>
            <w:r w:rsidRPr="008007E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Trendelenburga</w:t>
            </w:r>
            <w:proofErr w:type="spellEnd"/>
            <w:r w:rsidRPr="008007E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regulowana hydraulicznie w </w:t>
            </w:r>
            <w:proofErr w:type="gramStart"/>
            <w:r w:rsidRPr="008007E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zakresie  ±15°</w:t>
            </w:r>
            <w:r w:rsidRPr="008007E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przy</w:t>
            </w:r>
            <w:proofErr w:type="gramEnd"/>
            <w:r w:rsidRPr="008007E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użyciu pedałów nożnych z obu dłuższych stron wózka</w:t>
            </w:r>
          </w:p>
          <w:p w:rsidR="008007EB" w:rsidRPr="008007EB" w:rsidRDefault="008007EB" w:rsidP="008007EB">
            <w:pPr>
              <w:spacing w:before="20" w:after="20"/>
              <w:rPr>
                <w:rFonts w:ascii="Calibri" w:hAnsi="Calibri" w:cs="Calibri"/>
                <w:b/>
                <w:sz w:val="22"/>
                <w:szCs w:val="22"/>
                <w:u w:val="single"/>
              </w:rPr>
            </w:pPr>
            <w:r w:rsidRPr="008007EB">
              <w:rPr>
                <w:rFonts w:ascii="Calibri" w:hAnsi="Calibri" w:cs="Calibri"/>
                <w:b/>
                <w:sz w:val="22"/>
                <w:szCs w:val="22"/>
                <w:u w:val="single"/>
              </w:rPr>
              <w:t>Zasady oceny punktowej:</w:t>
            </w:r>
          </w:p>
          <w:p w:rsidR="008007EB" w:rsidRPr="008007EB" w:rsidRDefault="008007EB" w:rsidP="008007EB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8007EB">
              <w:rPr>
                <w:rFonts w:ascii="Calibri" w:hAnsi="Calibri" w:cs="Calibri"/>
                <w:color w:val="000000"/>
                <w:sz w:val="22"/>
                <w:szCs w:val="22"/>
              </w:rPr>
              <w:t>±15° - 0 pkt</w:t>
            </w:r>
            <w:r w:rsidRPr="008007EB">
              <w:rPr>
                <w:rFonts w:ascii="Calibri" w:hAnsi="Calibri" w:cs="Calibri"/>
                <w:color w:val="000000"/>
                <w:sz w:val="22"/>
                <w:szCs w:val="22"/>
              </w:rPr>
              <w:br/>
              <w:t>szerszy zakres - 10 pkt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C414C1" w:rsidRPr="00554556" w:rsidRDefault="00C414C1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C414C1" w:rsidRPr="00554556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54556">
              <w:rPr>
                <w:rFonts w:ascii="Calibri" w:hAnsi="Calibri" w:cs="Calibri"/>
                <w:sz w:val="22"/>
                <w:szCs w:val="22"/>
              </w:rPr>
              <w:t>Tak/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554556">
              <w:rPr>
                <w:rFonts w:ascii="Calibri" w:hAnsi="Calibri" w:cs="Calibri"/>
                <w:sz w:val="22"/>
                <w:szCs w:val="22"/>
              </w:rPr>
              <w:t>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 w:rsidTr="00554556">
        <w:trPr>
          <w:trHeight w:val="283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C414C1" w:rsidRPr="008007EB" w:rsidRDefault="008007EB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8007E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Tuleje na wieszaki </w:t>
            </w:r>
            <w:proofErr w:type="gramStart"/>
            <w:r w:rsidRPr="008007EB">
              <w:rPr>
                <w:rFonts w:ascii="Calibri" w:hAnsi="Calibri" w:cs="Calibri"/>
                <w:color w:val="000000"/>
                <w:sz w:val="22"/>
                <w:szCs w:val="22"/>
              </w:rPr>
              <w:t>infuzyjne  lub</w:t>
            </w:r>
            <w:proofErr w:type="gramEnd"/>
            <w:r w:rsidRPr="008007E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 na inne akcesoria w każdym narożu wózka.  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554556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54556">
              <w:rPr>
                <w:rFonts w:ascii="Calibri" w:hAnsi="Calibri" w:cs="Calibri"/>
                <w:sz w:val="22"/>
                <w:szCs w:val="22"/>
              </w:rPr>
              <w:t>Tak/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554556">
              <w:rPr>
                <w:rFonts w:ascii="Calibri" w:hAnsi="Calibri" w:cs="Calibri"/>
                <w:sz w:val="22"/>
                <w:szCs w:val="22"/>
              </w:rPr>
              <w:t>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 w:rsidTr="00627A55">
        <w:trPr>
          <w:trHeight w:val="366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C414C1" w:rsidRPr="008007EB" w:rsidRDefault="008007EB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8007EB">
              <w:rPr>
                <w:rFonts w:ascii="Calibri" w:hAnsi="Calibri" w:cs="Calibri"/>
                <w:color w:val="000000"/>
                <w:sz w:val="22"/>
                <w:szCs w:val="22"/>
              </w:rPr>
              <w:t>Uchwyty na worki urologiczne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554556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54556">
              <w:rPr>
                <w:rFonts w:ascii="Calibri" w:hAnsi="Calibri" w:cs="Calibri"/>
                <w:sz w:val="22"/>
                <w:szCs w:val="22"/>
              </w:rPr>
              <w:t>Tak/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554556">
              <w:rPr>
                <w:rFonts w:ascii="Calibri" w:hAnsi="Calibri" w:cs="Calibri"/>
                <w:sz w:val="22"/>
                <w:szCs w:val="22"/>
              </w:rPr>
              <w:t>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 w:rsidTr="00627A55">
        <w:trPr>
          <w:trHeight w:val="586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8007EB" w:rsidRDefault="008007EB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8007E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Materac piankowy 2 warstwowy, w pokrowcu z osłoną poliestrową, powlekany poliuretanem i poliamidem, z powierzchnią antypoślizgową , nieprzemakalny, o grubości 8 cm, Materac mocowany na </w:t>
            </w:r>
            <w:proofErr w:type="gramStart"/>
            <w:r w:rsidRPr="008007EB">
              <w:rPr>
                <w:rFonts w:ascii="Calibri" w:hAnsi="Calibri" w:cs="Calibri"/>
                <w:color w:val="000000"/>
                <w:sz w:val="22"/>
                <w:szCs w:val="22"/>
              </w:rPr>
              <w:t>rzepy,  w</w:t>
            </w:r>
            <w:proofErr w:type="gramEnd"/>
            <w:r w:rsidRPr="008007E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sposób uniemożliwiający samoczynne przesuwanie.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554556">
            <w:pPr>
              <w:widowControl w:val="0"/>
              <w:jc w:val="center"/>
              <w:rPr>
                <w:rFonts w:cs="Calibri"/>
                <w:color w:val="C9211E"/>
                <w:sz w:val="18"/>
                <w:szCs w:val="22"/>
              </w:rPr>
            </w:pPr>
            <w:r w:rsidRPr="00554556">
              <w:rPr>
                <w:rFonts w:ascii="Calibri" w:hAnsi="Calibri" w:cs="Calibri"/>
                <w:sz w:val="22"/>
                <w:szCs w:val="22"/>
              </w:rPr>
              <w:t>Tak/podać</w:t>
            </w:r>
            <w:r>
              <w:rPr>
                <w:rFonts w:cs="Calibri"/>
                <w:color w:val="C9211E"/>
                <w:sz w:val="18"/>
                <w:szCs w:val="22"/>
              </w:rPr>
              <w:t xml:space="preserve"> 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27A55" w:rsidTr="00554556">
        <w:trPr>
          <w:trHeight w:val="709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27A55" w:rsidRDefault="00627A55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27A55" w:rsidRPr="008007EB" w:rsidRDefault="008007EB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8007E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Teleskopowy chromowany wieszak </w:t>
            </w:r>
            <w:proofErr w:type="gramStart"/>
            <w:r w:rsidRPr="008007EB">
              <w:rPr>
                <w:rFonts w:ascii="Calibri" w:hAnsi="Calibri" w:cs="Calibri"/>
                <w:color w:val="000000"/>
                <w:sz w:val="22"/>
                <w:szCs w:val="22"/>
              </w:rPr>
              <w:t>infuzyjny 2  częściowy</w:t>
            </w:r>
            <w:proofErr w:type="gramEnd"/>
            <w:r w:rsidRPr="008007E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z regulacją wysokości, </w:t>
            </w:r>
            <w:r w:rsidRPr="008007E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wyjmowany,</w:t>
            </w:r>
            <w:r w:rsidRPr="008007E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2 haki.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27A55" w:rsidRPr="00554556" w:rsidRDefault="00627A55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54556">
              <w:rPr>
                <w:rFonts w:ascii="Calibri" w:hAnsi="Calibri" w:cs="Calibri"/>
                <w:sz w:val="22"/>
                <w:szCs w:val="22"/>
              </w:rPr>
              <w:t>Tak/podać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27A55" w:rsidRDefault="00627A55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 w:rsidTr="008007EB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C414C1" w:rsidRDefault="00C414C1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C414C1" w:rsidRPr="008007EB" w:rsidRDefault="008007EB">
            <w:pPr>
              <w:widowControl w:val="0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007E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Max. obciążenie do 5 kg</w:t>
            </w:r>
          </w:p>
          <w:p w:rsidR="008007EB" w:rsidRPr="008007EB" w:rsidRDefault="008007EB" w:rsidP="008007EB">
            <w:pPr>
              <w:spacing w:before="20" w:after="20"/>
              <w:rPr>
                <w:rFonts w:ascii="Calibri" w:hAnsi="Calibri" w:cs="Calibri"/>
                <w:b/>
                <w:sz w:val="22"/>
                <w:szCs w:val="22"/>
                <w:u w:val="single"/>
              </w:rPr>
            </w:pPr>
            <w:r w:rsidRPr="008007EB">
              <w:rPr>
                <w:rFonts w:ascii="Calibri" w:hAnsi="Calibri" w:cs="Calibri"/>
                <w:b/>
                <w:sz w:val="22"/>
                <w:szCs w:val="22"/>
                <w:u w:val="single"/>
              </w:rPr>
              <w:t>Zasady oceny punktowej:</w:t>
            </w:r>
          </w:p>
          <w:p w:rsidR="008007EB" w:rsidRPr="008007EB" w:rsidRDefault="008007EB">
            <w:pPr>
              <w:widowControl w:val="0"/>
              <w:rPr>
                <w:rFonts w:ascii="Calibri" w:hAnsi="Calibri" w:cs="Calibri"/>
                <w:color w:val="C9211E"/>
                <w:sz w:val="22"/>
                <w:szCs w:val="22"/>
              </w:rPr>
            </w:pPr>
            <w:r w:rsidRPr="008007EB">
              <w:rPr>
                <w:rFonts w:ascii="Calibri" w:hAnsi="Calibri" w:cs="Calibri"/>
                <w:color w:val="000000"/>
                <w:sz w:val="22"/>
                <w:szCs w:val="22"/>
              </w:rPr>
              <w:t>do 5 kg - 0pkt</w:t>
            </w:r>
            <w:proofErr w:type="gramStart"/>
            <w:r w:rsidRPr="008007EB">
              <w:rPr>
                <w:rFonts w:ascii="Calibri" w:hAnsi="Calibri" w:cs="Calibri"/>
                <w:color w:val="000000"/>
                <w:sz w:val="22"/>
                <w:szCs w:val="22"/>
              </w:rPr>
              <w:t>,</w:t>
            </w:r>
            <w:r w:rsidRPr="008007EB">
              <w:rPr>
                <w:rFonts w:ascii="Calibri" w:hAnsi="Calibri" w:cs="Calibri"/>
                <w:color w:val="000000"/>
                <w:sz w:val="22"/>
                <w:szCs w:val="22"/>
              </w:rPr>
              <w:br/>
              <w:t>powyżej</w:t>
            </w:r>
            <w:proofErr w:type="gramEnd"/>
            <w:r w:rsidRPr="008007E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5 kg - 10 pkt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C414C1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  <w:p w:rsidR="00C414C1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color w:val="C9211E"/>
                <w:sz w:val="22"/>
                <w:szCs w:val="22"/>
              </w:rPr>
            </w:pPr>
            <w:r>
              <w:rPr>
                <w:rFonts w:ascii="Calibri" w:hAnsi="Calibri" w:cs="Calibri"/>
                <w:color w:val="C9211E"/>
                <w:sz w:val="22"/>
                <w:szCs w:val="22"/>
              </w:rPr>
              <w:t xml:space="preserve"> 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Pr="008007EB" w:rsidRDefault="008007EB">
            <w:pPr>
              <w:pStyle w:val="western"/>
              <w:widowControl w:val="0"/>
              <w:spacing w:before="0" w:after="0" w:line="240" w:lineRule="auto"/>
              <w:rPr>
                <w:rFonts w:ascii="Calibri" w:hAnsi="Calibri" w:cs="Calibri"/>
                <w:sz w:val="22"/>
                <w:szCs w:val="22"/>
              </w:rPr>
            </w:pPr>
            <w:r w:rsidRPr="008007EB">
              <w:rPr>
                <w:rFonts w:ascii="Calibri" w:hAnsi="Calibri" w:cs="Calibri"/>
                <w:color w:val="000000"/>
                <w:sz w:val="22"/>
                <w:szCs w:val="22"/>
              </w:rPr>
              <w:t>Uchwyt na zamontowanie rolki z papierem do osłaniania i zabezpieczania powierzchni leża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:rsidR="00C414C1" w:rsidRDefault="00C414C1">
      <w:pPr>
        <w:pStyle w:val="Standard"/>
        <w:rPr>
          <w:rFonts w:ascii="Calibri" w:hAnsi="Calibri" w:cs="Calibri"/>
          <w:b/>
          <w:bCs/>
          <w:color w:val="FF0000"/>
          <w:sz w:val="20"/>
          <w:szCs w:val="20"/>
        </w:rPr>
      </w:pPr>
    </w:p>
    <w:p w:rsidR="00B017F6" w:rsidRDefault="00B017F6">
      <w:pPr>
        <w:pStyle w:val="Standard"/>
        <w:rPr>
          <w:rFonts w:ascii="Calibri" w:hAnsi="Calibri" w:cs="Calibri"/>
          <w:b/>
          <w:bCs/>
          <w:color w:val="FF0000"/>
          <w:sz w:val="20"/>
          <w:szCs w:val="20"/>
        </w:rPr>
      </w:pPr>
    </w:p>
    <w:tbl>
      <w:tblPr>
        <w:tblW w:w="11058" w:type="dxa"/>
        <w:tblInd w:w="-1008" w:type="dxa"/>
        <w:tblLayout w:type="fixed"/>
        <w:tblLook w:val="04A0" w:firstRow="1" w:lastRow="0" w:firstColumn="1" w:lastColumn="0" w:noHBand="0" w:noVBand="1"/>
      </w:tblPr>
      <w:tblGrid>
        <w:gridCol w:w="567"/>
        <w:gridCol w:w="6077"/>
        <w:gridCol w:w="1419"/>
        <w:gridCol w:w="2995"/>
      </w:tblGrid>
      <w:tr w:rsidR="00C414C1">
        <w:trPr>
          <w:trHeight w:val="648"/>
        </w:trPr>
        <w:tc>
          <w:tcPr>
            <w:tcW w:w="11058" w:type="dxa"/>
            <w:gridSpan w:val="4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D5DCE4"/>
            <w:vAlign w:val="center"/>
          </w:tcPr>
          <w:p w:rsidR="00C414C1" w:rsidRDefault="00554556">
            <w:pPr>
              <w:widowControl w:val="0"/>
              <w:shd w:val="clear" w:color="auto" w:fill="D5DCE4"/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WARUNKI GWARANCJI I SERWISU</w:t>
            </w:r>
          </w:p>
        </w:tc>
      </w:tr>
      <w:tr w:rsidR="00C414C1">
        <w:trPr>
          <w:trHeight w:val="691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1.</w:t>
            </w:r>
          </w:p>
        </w:tc>
        <w:tc>
          <w:tcPr>
            <w:tcW w:w="60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C414C1" w:rsidRDefault="00295574" w:rsidP="00FE0B57">
            <w:pPr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Gwarancja min. </w:t>
            </w:r>
            <w:r w:rsidR="008630B9">
              <w:rPr>
                <w:rFonts w:ascii="Calibri" w:hAnsi="Calibri" w:cs="Calibri"/>
                <w:sz w:val="22"/>
                <w:szCs w:val="22"/>
              </w:rPr>
              <w:t>24</w:t>
            </w:r>
            <w:r w:rsidRPr="00295574">
              <w:rPr>
                <w:rFonts w:ascii="Calibri" w:hAnsi="Calibri" w:cs="Calibri"/>
                <w:sz w:val="22"/>
                <w:szCs w:val="22"/>
              </w:rPr>
              <w:t xml:space="preserve"> m-c</w:t>
            </w:r>
            <w:r w:rsidR="00FE0B57">
              <w:rPr>
                <w:rFonts w:ascii="Calibri" w:hAnsi="Calibri" w:cs="Calibri"/>
                <w:sz w:val="22"/>
                <w:szCs w:val="22"/>
              </w:rPr>
              <w:t>e</w:t>
            </w:r>
            <w:r w:rsidRPr="00295574">
              <w:rPr>
                <w:rFonts w:ascii="Calibri" w:hAnsi="Calibri" w:cs="Calibri"/>
                <w:sz w:val="22"/>
                <w:szCs w:val="22"/>
              </w:rPr>
              <w:t xml:space="preserve"> (bezpłatne – wliczone w cenę oferty przeglądy w okresie gwarancji, min. 1x/rok lub częściej, zgodnie z zaleceniami </w:t>
            </w:r>
            <w:proofErr w:type="gramStart"/>
            <w:r w:rsidRPr="00295574">
              <w:rPr>
                <w:rFonts w:ascii="Calibri" w:hAnsi="Calibri" w:cs="Calibri"/>
                <w:sz w:val="22"/>
                <w:szCs w:val="22"/>
              </w:rPr>
              <w:t>producenta</w:t>
            </w:r>
            <w:r w:rsidR="002A25C3">
              <w:rPr>
                <w:rFonts w:ascii="Calibri" w:hAnsi="Calibri" w:cs="Calibri"/>
                <w:sz w:val="22"/>
                <w:szCs w:val="22"/>
              </w:rPr>
              <w:t xml:space="preserve"> – jeżeli</w:t>
            </w:r>
            <w:proofErr w:type="gramEnd"/>
            <w:r w:rsidR="002A25C3">
              <w:rPr>
                <w:rFonts w:ascii="Calibri" w:hAnsi="Calibri" w:cs="Calibri"/>
                <w:sz w:val="22"/>
                <w:szCs w:val="22"/>
              </w:rPr>
              <w:t xml:space="preserve"> dotyczy</w:t>
            </w:r>
            <w:r w:rsidRPr="00295574">
              <w:rPr>
                <w:rFonts w:ascii="Calibri" w:hAnsi="Calibri" w:cs="Calibri"/>
                <w:sz w:val="22"/>
                <w:szCs w:val="22"/>
              </w:rPr>
              <w:t>) wraz z wyst</w:t>
            </w:r>
            <w:r w:rsidR="001B29F0">
              <w:rPr>
                <w:rFonts w:ascii="Calibri" w:hAnsi="Calibri" w:cs="Calibri"/>
                <w:sz w:val="22"/>
                <w:szCs w:val="22"/>
              </w:rPr>
              <w:t>awieniem certyfikatu sprawności</w:t>
            </w:r>
          </w:p>
        </w:tc>
        <w:tc>
          <w:tcPr>
            <w:tcW w:w="14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C414C1" w:rsidRDefault="00C414C1">
            <w:pPr>
              <w:widowControl w:val="0"/>
              <w:ind w:right="451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35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</w:t>
            </w:r>
            <w:r w:rsidR="00554556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60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Pr="00295574" w:rsidRDefault="00295574" w:rsidP="00295574">
            <w:pPr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Czas reakcji liczony od przyjęcia zgłoszenia do momentu podjęcia naprawy</w:t>
            </w:r>
          </w:p>
          <w:p w:rsidR="00C414C1" w:rsidRPr="00295574" w:rsidRDefault="00295574" w:rsidP="00295574">
            <w:pPr>
              <w:widowControl w:val="0"/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– 48 godzin w dni robocze</w:t>
            </w:r>
          </w:p>
        </w:tc>
        <w:tc>
          <w:tcPr>
            <w:tcW w:w="14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ind w:right="451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89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3</w:t>
            </w:r>
            <w:r w:rsidR="00554556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Pr="00295574" w:rsidRDefault="00554556" w:rsidP="00295574">
            <w:pPr>
              <w:snapToGrid w:val="0"/>
              <w:ind w:left="69" w:hanging="69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295574" w:rsidRPr="00295574">
              <w:rPr>
                <w:rFonts w:ascii="Calibri" w:hAnsi="Calibri" w:cs="Calibri"/>
                <w:sz w:val="22"/>
                <w:szCs w:val="22"/>
              </w:rPr>
              <w:t xml:space="preserve">Maksymalny czas niezbędny na usunięcie awarii od czasu zdiagnozowania awarii: </w:t>
            </w:r>
          </w:p>
          <w:p w:rsidR="00295574" w:rsidRPr="00295574" w:rsidRDefault="00295574" w:rsidP="00295574">
            <w:pPr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 - bez użycia części zamiennych - 3 dni </w:t>
            </w:r>
          </w:p>
          <w:p w:rsidR="00C414C1" w:rsidRPr="00295574" w:rsidRDefault="00295574" w:rsidP="00295574">
            <w:pPr>
              <w:widowControl w:val="0"/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 - z użyciem części zamiennych – 5 dni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ind w:right="451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63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4</w:t>
            </w:r>
            <w:r w:rsidR="00554556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295574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295574" w:rsidRPr="00295574">
              <w:rPr>
                <w:rFonts w:ascii="Calibri" w:hAnsi="Calibri" w:cs="Calibri"/>
                <w:sz w:val="22"/>
                <w:szCs w:val="22"/>
              </w:rPr>
              <w:t>Przedłużenie okresu gwarancji o każdy dzień trwania naprawy gwarancyjnej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 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5</w:t>
            </w:r>
            <w:r w:rsidR="00554556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295574" w:rsidRDefault="00554556" w:rsidP="00295574">
            <w:pPr>
              <w:widowControl w:val="0"/>
              <w:ind w:left="69" w:hanging="69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 Liczba napraw powodująca wymianę podzespołu na nowy w okresie gwarancji – </w:t>
            </w:r>
            <w:r w:rsidR="00295574" w:rsidRPr="00295574">
              <w:rPr>
                <w:rFonts w:ascii="Calibri" w:hAnsi="Calibri" w:cs="Calibri"/>
                <w:sz w:val="22"/>
                <w:szCs w:val="22"/>
              </w:rPr>
              <w:t>3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6</w:t>
            </w:r>
            <w:r w:rsidR="00554556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295574" w:rsidRDefault="00554556">
            <w:pPr>
              <w:widowControl w:val="0"/>
              <w:snapToGrid w:val="0"/>
              <w:ind w:left="69" w:hanging="69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Serwis gwarancyjny autoryzowany przez producenta aparatu. Na terenie Polski. Podać dane kontaktowe z serwisem.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295574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7.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Pr="00295574" w:rsidRDefault="00295574">
            <w:pPr>
              <w:widowControl w:val="0"/>
              <w:snapToGrid w:val="0"/>
              <w:ind w:left="69" w:hanging="69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W przypadku awarii w okresie gwarancji koszt przyjazdu, dostawy pokrywa Wykonawca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Default="00295574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8.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295574" w:rsidRDefault="00295574" w:rsidP="008E3A72">
            <w:pPr>
              <w:widowControl w:val="0"/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Okres zagwarantowania dostępności części zamiennych od daty podpisania protokołu odbioru - 10 lat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9.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414C1" w:rsidRPr="00295574" w:rsidRDefault="00295574" w:rsidP="008E3A72">
            <w:pPr>
              <w:widowControl w:val="0"/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Serwis pogwarancyjny przez okres, co najmniej 8 lat od daty podpisania protokołu odbioru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10.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295574" w:rsidRDefault="00295574" w:rsidP="008E3A72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Paszport techniczny, instrukcje obsługi w języku polskim dostarczona w wersji papierowej.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8E3A72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A72" w:rsidRDefault="008E3A72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11.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A72" w:rsidRPr="008E3A72" w:rsidRDefault="008E3A72" w:rsidP="008E3A72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8E3A72">
              <w:rPr>
                <w:rFonts w:ascii="Calibri" w:hAnsi="Calibri" w:cs="Calibri"/>
                <w:sz w:val="22"/>
                <w:szCs w:val="22"/>
                <w:highlight w:val="white"/>
              </w:rPr>
              <w:t>Szkolenie z obsługi w</w:t>
            </w:r>
            <w:r>
              <w:rPr>
                <w:rFonts w:ascii="Calibri" w:hAnsi="Calibri" w:cs="Calibri"/>
                <w:sz w:val="22"/>
                <w:szCs w:val="22"/>
                <w:highlight w:val="white"/>
              </w:rPr>
              <w:t xml:space="preserve"> siedzibie Z</w:t>
            </w:r>
            <w:r w:rsidRPr="008E3A72">
              <w:rPr>
                <w:rFonts w:ascii="Calibri" w:hAnsi="Calibri" w:cs="Calibri"/>
                <w:sz w:val="22"/>
                <w:szCs w:val="22"/>
                <w:highlight w:val="white"/>
              </w:rPr>
              <w:t xml:space="preserve">amawiającego 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A72" w:rsidRDefault="00B4654F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A72" w:rsidRDefault="008E3A72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 w:rsidP="008E3A72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</w:t>
            </w:r>
            <w:r w:rsidR="008E3A72">
              <w:rPr>
                <w:rFonts w:ascii="Calibri" w:hAnsi="Calibri" w:cs="Calibri"/>
                <w:sz w:val="22"/>
                <w:szCs w:val="22"/>
              </w:rPr>
              <w:t>2</w:t>
            </w:r>
            <w:r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Pr="00295574" w:rsidRDefault="00295574" w:rsidP="00295574">
            <w:pPr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Instalacja i uruchomienie</w:t>
            </w:r>
          </w:p>
          <w:p w:rsidR="00C414C1" w:rsidRPr="00295574" w:rsidRDefault="00295574" w:rsidP="008E3A72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Wszelkiego rodzaju koszty związane z dodatkowym licencjonowaniem oraz integrowaniem dostarczonych urządzeń z rozwiązaniami posiadanymi przez Zamawiającego pokrywa </w:t>
            </w:r>
            <w:proofErr w:type="gramStart"/>
            <w:r w:rsidRPr="00295574">
              <w:rPr>
                <w:rFonts w:ascii="Calibri" w:hAnsi="Calibri" w:cs="Calibri"/>
                <w:sz w:val="22"/>
                <w:szCs w:val="22"/>
              </w:rPr>
              <w:t xml:space="preserve">Wykonawca </w:t>
            </w:r>
            <w:r>
              <w:rPr>
                <w:rFonts w:ascii="Calibri" w:hAnsi="Calibri" w:cs="Calibri"/>
                <w:sz w:val="22"/>
                <w:szCs w:val="22"/>
              </w:rPr>
              <w:t>– jeżeli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dotyczy </w:t>
            </w:r>
            <w:r w:rsidRPr="00295574">
              <w:rPr>
                <w:rFonts w:ascii="Calibri" w:hAnsi="Calibri" w:cs="Calibri"/>
                <w:sz w:val="22"/>
                <w:szCs w:val="22"/>
              </w:rPr>
              <w:t>(wliczone w cenę oferty).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</w:tbl>
    <w:p w:rsidR="000A64C2" w:rsidRPr="000A64C2" w:rsidRDefault="000A64C2" w:rsidP="000A64C2">
      <w:pPr>
        <w:pStyle w:val="Tekstpodstawowy"/>
      </w:pPr>
    </w:p>
    <w:p w:rsidR="00C414C1" w:rsidRDefault="00554556" w:rsidP="00F53E5E">
      <w:pPr>
        <w:pStyle w:val="Nagwek"/>
        <w:numPr>
          <w:ilvl w:val="0"/>
          <w:numId w:val="2"/>
        </w:numPr>
        <w:jc w:val="both"/>
      </w:pPr>
      <w:r>
        <w:rPr>
          <w:rFonts w:ascii="Calibri" w:hAnsi="Calibri" w:cs="Calibri"/>
          <w:bCs/>
          <w:sz w:val="22"/>
          <w:szCs w:val="22"/>
        </w:rPr>
        <w:t xml:space="preserve">Zapis w kolumnie 3. „TAK” należy traktować, jako wymóg graniczny (wymagany), którego </w:t>
      </w:r>
      <w:r>
        <w:rPr>
          <w:rFonts w:ascii="Calibri" w:hAnsi="Calibri" w:cs="Calibri"/>
          <w:sz w:val="22"/>
          <w:szCs w:val="22"/>
        </w:rPr>
        <w:t>niespełnienie skutkować będzie odrzuceniem oferty, jako</w:t>
      </w:r>
      <w:r>
        <w:rPr>
          <w:rFonts w:ascii="Calibri" w:hAnsi="Calibri" w:cs="Calibri"/>
          <w:bCs/>
          <w:sz w:val="22"/>
          <w:szCs w:val="22"/>
        </w:rPr>
        <w:t xml:space="preserve"> niezgodnej ze SWZ.</w:t>
      </w:r>
    </w:p>
    <w:p w:rsidR="00C414C1" w:rsidRDefault="00554556" w:rsidP="00F53E5E">
      <w:pPr>
        <w:pStyle w:val="Nagwek"/>
        <w:numPr>
          <w:ilvl w:val="0"/>
          <w:numId w:val="2"/>
        </w:numPr>
        <w:jc w:val="both"/>
        <w:rPr>
          <w:rFonts w:ascii="Calibri" w:eastAsia="Batang" w:hAnsi="Calibri" w:cs="Calibri"/>
          <w:color w:val="000000"/>
          <w:sz w:val="22"/>
          <w:szCs w:val="22"/>
        </w:rPr>
      </w:pPr>
      <w:r>
        <w:rPr>
          <w:rFonts w:ascii="Calibri" w:eastAsia="Batang" w:hAnsi="Calibri" w:cs="Calibri"/>
          <w:color w:val="000000"/>
          <w:sz w:val="22"/>
          <w:szCs w:val="22"/>
        </w:rPr>
        <w:t>Niespełnienie któregokolwiek z wymaganych powyżej parametrów techniczno-użytkowych oraz wymagań, co do ich wartości minimalnych spowoduje odrzucenie oferty bez dalszej jej oceny.</w:t>
      </w:r>
    </w:p>
    <w:p w:rsidR="00C414C1" w:rsidRDefault="00554556" w:rsidP="00F53E5E">
      <w:pPr>
        <w:pStyle w:val="Nagwek"/>
        <w:numPr>
          <w:ilvl w:val="0"/>
          <w:numId w:val="2"/>
        </w:numPr>
        <w:jc w:val="both"/>
        <w:rPr>
          <w:rFonts w:ascii="Calibri" w:eastAsia="Batang" w:hAnsi="Calibri" w:cs="Calibri"/>
          <w:color w:val="000000"/>
          <w:sz w:val="22"/>
          <w:szCs w:val="22"/>
        </w:rPr>
      </w:pPr>
      <w:r>
        <w:rPr>
          <w:rFonts w:ascii="Calibri" w:eastAsia="Batang" w:hAnsi="Calibri" w:cs="Calibri"/>
          <w:color w:val="000000"/>
          <w:sz w:val="22"/>
          <w:szCs w:val="22"/>
        </w:rPr>
        <w:t xml:space="preserve">Brak opisu w kolumnie 4. </w:t>
      </w:r>
      <w:proofErr w:type="gramStart"/>
      <w:r>
        <w:rPr>
          <w:rFonts w:ascii="Calibri" w:eastAsia="Batang" w:hAnsi="Calibri" w:cs="Calibri"/>
          <w:color w:val="000000"/>
          <w:sz w:val="22"/>
          <w:szCs w:val="22"/>
        </w:rPr>
        <w:t>traktowany</w:t>
      </w:r>
      <w:proofErr w:type="gramEnd"/>
      <w:r>
        <w:rPr>
          <w:rFonts w:ascii="Calibri" w:eastAsia="Batang" w:hAnsi="Calibri" w:cs="Calibri"/>
          <w:color w:val="000000"/>
          <w:sz w:val="22"/>
          <w:szCs w:val="22"/>
        </w:rPr>
        <w:t xml:space="preserve"> będzie, jako brak danego parametru.</w:t>
      </w:r>
    </w:p>
    <w:p w:rsidR="00C414C1" w:rsidRDefault="00554556" w:rsidP="00F53E5E">
      <w:pPr>
        <w:pStyle w:val="Nagwek"/>
        <w:numPr>
          <w:ilvl w:val="0"/>
          <w:numId w:val="2"/>
        </w:num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Zamawiający zastrzega sobie prawo sprawdzenia podanych przez wykonawcę parametrów w dostępnych materiałach technicznych lub u producenta w przypadku powstania wątpliwości, co do ich prawdziwości.</w:t>
      </w:r>
    </w:p>
    <w:p w:rsidR="00C414C1" w:rsidRDefault="00C414C1">
      <w:pPr>
        <w:jc w:val="both"/>
        <w:rPr>
          <w:rFonts w:ascii="Calibri" w:hAnsi="Calibri" w:cs="Calibri"/>
          <w:b/>
          <w:sz w:val="22"/>
          <w:szCs w:val="22"/>
        </w:rPr>
      </w:pPr>
    </w:p>
    <w:p w:rsidR="00C414C1" w:rsidRDefault="00554556">
      <w:pPr>
        <w:jc w:val="both"/>
      </w:pPr>
      <w:r>
        <w:rPr>
          <w:rFonts w:ascii="Calibri" w:hAnsi="Calibri" w:cs="Calibri"/>
          <w:sz w:val="22"/>
          <w:szCs w:val="22"/>
        </w:rPr>
        <w:t>Niniejszym oświadczam/y</w:t>
      </w:r>
      <w:r>
        <w:rPr>
          <w:rFonts w:ascii="Calibri" w:hAnsi="Calibri" w:cs="Calibri"/>
          <w:bCs/>
          <w:sz w:val="22"/>
          <w:szCs w:val="22"/>
        </w:rPr>
        <w:t>, że przedstawione powyżej dane są prawdziwe oraz zobowiązuję/</w:t>
      </w:r>
      <w:proofErr w:type="spellStart"/>
      <w:r>
        <w:rPr>
          <w:rFonts w:ascii="Calibri" w:hAnsi="Calibri" w:cs="Calibri"/>
          <w:bCs/>
          <w:sz w:val="22"/>
          <w:szCs w:val="22"/>
        </w:rPr>
        <w:t>emy</w:t>
      </w:r>
      <w:proofErr w:type="spellEnd"/>
      <w:r>
        <w:rPr>
          <w:rFonts w:ascii="Calibri" w:hAnsi="Calibri" w:cs="Calibri"/>
          <w:bCs/>
          <w:sz w:val="22"/>
          <w:szCs w:val="22"/>
        </w:rPr>
        <w:t xml:space="preserve"> się, w przypadku wygrania przetargu, do dostarczenia sprzętu spełniającego wyspecyfikowane parametry.</w:t>
      </w:r>
    </w:p>
    <w:p w:rsidR="00C414C1" w:rsidRDefault="00554556">
      <w:p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Oświadczam/y, iż wyspecyfikowane powyżej urządzenia są kompletne i będą, po montażu i zainstalowaniu, gotowe do podjęcia prawidłowej pracy bez żadnych dodatkowych zakupów.</w:t>
      </w:r>
    </w:p>
    <w:p w:rsidR="00C414C1" w:rsidRDefault="00C414C1">
      <w:pPr>
        <w:ind w:right="-35"/>
        <w:rPr>
          <w:sz w:val="18"/>
          <w:szCs w:val="18"/>
        </w:rPr>
      </w:pPr>
    </w:p>
    <w:p w:rsidR="00C414C1" w:rsidRDefault="00C414C1">
      <w:pPr>
        <w:ind w:right="-35"/>
        <w:rPr>
          <w:sz w:val="18"/>
          <w:szCs w:val="18"/>
        </w:rPr>
      </w:pPr>
    </w:p>
    <w:p w:rsidR="00C414C1" w:rsidRDefault="00C414C1">
      <w:pPr>
        <w:ind w:right="-35"/>
        <w:rPr>
          <w:sz w:val="18"/>
          <w:szCs w:val="18"/>
        </w:rPr>
      </w:pPr>
    </w:p>
    <w:p w:rsidR="00C414C1" w:rsidRDefault="00C414C1">
      <w:pPr>
        <w:ind w:right="-35"/>
        <w:rPr>
          <w:sz w:val="18"/>
          <w:szCs w:val="18"/>
        </w:rPr>
      </w:pPr>
    </w:p>
    <w:p w:rsidR="00C414C1" w:rsidRDefault="00C414C1">
      <w:pPr>
        <w:ind w:right="-35"/>
        <w:rPr>
          <w:sz w:val="18"/>
          <w:szCs w:val="18"/>
        </w:rPr>
      </w:pPr>
    </w:p>
    <w:p w:rsidR="00C414C1" w:rsidRDefault="00554556">
      <w:pPr>
        <w:ind w:right="-35"/>
        <w:rPr>
          <w:sz w:val="22"/>
          <w:szCs w:val="22"/>
        </w:rPr>
      </w:pPr>
      <w:r>
        <w:rPr>
          <w:sz w:val="22"/>
          <w:szCs w:val="22"/>
        </w:rPr>
        <w:t>...................................</w:t>
      </w:r>
      <w:r>
        <w:rPr>
          <w:sz w:val="22"/>
          <w:szCs w:val="22"/>
        </w:rPr>
        <w:tab/>
        <w:t xml:space="preserve">                                                                         ....................................................</w:t>
      </w:r>
    </w:p>
    <w:p w:rsidR="00C414C1" w:rsidRPr="001B18B2" w:rsidRDefault="00554556" w:rsidP="001B18B2">
      <w:pPr>
        <w:rPr>
          <w:sz w:val="22"/>
          <w:szCs w:val="22"/>
        </w:rPr>
      </w:pPr>
      <w:r>
        <w:rPr>
          <w:sz w:val="22"/>
          <w:szCs w:val="22"/>
        </w:rPr>
        <w:t xml:space="preserve">               </w:t>
      </w:r>
      <w:proofErr w:type="gramStart"/>
      <w:r>
        <w:rPr>
          <w:sz w:val="22"/>
          <w:szCs w:val="22"/>
        </w:rPr>
        <w:t xml:space="preserve">data                                                  </w:t>
      </w:r>
      <w:proofErr w:type="gramEnd"/>
      <w:r>
        <w:rPr>
          <w:sz w:val="22"/>
          <w:szCs w:val="22"/>
        </w:rPr>
        <w:t xml:space="preserve">                                        Podpis osoby upoważnionej</w:t>
      </w:r>
    </w:p>
    <w:sectPr w:rsidR="00C414C1" w:rsidRPr="001B18B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0" w:footer="0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768FD" w:rsidRDefault="00D768FD" w:rsidP="003356F5">
      <w:r>
        <w:separator/>
      </w:r>
    </w:p>
  </w:endnote>
  <w:endnote w:type="continuationSeparator" w:id="0">
    <w:p w:rsidR="00D768FD" w:rsidRDefault="00D768FD" w:rsidP="003356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emens Sans">
    <w:altName w:val="Times New Roman"/>
    <w:charset w:val="EE"/>
    <w:family w:val="roman"/>
    <w:pitch w:val="variable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Lucida Sans">
    <w:panose1 w:val="020B0602040502020204"/>
    <w:charset w:val="EE"/>
    <w:family w:val="swiss"/>
    <w:pitch w:val="variable"/>
    <w:sig w:usb0="8100AAF7" w:usb1="0000807B" w:usb2="00000008" w:usb3="00000000" w:csb0="0000009F" w:csb1="00000000"/>
  </w:font>
  <w:font w:name="Andale Sans UI"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rlito">
    <w:panose1 w:val="020F0502020204030204"/>
    <w:charset w:val="EE"/>
    <w:family w:val="swiss"/>
    <w:pitch w:val="variable"/>
    <w:sig w:usb0="E10002FF" w:usb1="5000E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317B" w:rsidRDefault="00E4317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317B" w:rsidRDefault="00E4317B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317B" w:rsidRDefault="00E4317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768FD" w:rsidRDefault="00D768FD" w:rsidP="003356F5">
      <w:r>
        <w:separator/>
      </w:r>
    </w:p>
  </w:footnote>
  <w:footnote w:type="continuationSeparator" w:id="0">
    <w:p w:rsidR="00D768FD" w:rsidRDefault="00D768FD" w:rsidP="003356F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317B" w:rsidRDefault="00E4317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56F5" w:rsidRDefault="003356F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317B" w:rsidRDefault="00E4317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004F12"/>
    <w:multiLevelType w:val="multilevel"/>
    <w:tmpl w:val="F2EAB1E6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931559F"/>
    <w:multiLevelType w:val="multilevel"/>
    <w:tmpl w:val="F2EAB1E6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BB977B1"/>
    <w:multiLevelType w:val="hybridMultilevel"/>
    <w:tmpl w:val="1C6A62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497772"/>
    <w:multiLevelType w:val="multilevel"/>
    <w:tmpl w:val="F2EAB1E6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10F94E90"/>
    <w:multiLevelType w:val="multilevel"/>
    <w:tmpl w:val="3FF2AA88"/>
    <w:lvl w:ilvl="0">
      <w:start w:val="1"/>
      <w:numFmt w:val="decimal"/>
      <w:lvlText w:val="%1."/>
      <w:lvlJc w:val="left"/>
      <w:pPr>
        <w:tabs>
          <w:tab w:val="num" w:pos="0"/>
        </w:tabs>
        <w:ind w:left="502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222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942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662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382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102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822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542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262" w:hanging="180"/>
      </w:pPr>
    </w:lvl>
  </w:abstractNum>
  <w:abstractNum w:abstractNumId="5" w15:restartNumberingAfterBreak="0">
    <w:nsid w:val="2D7352EF"/>
    <w:multiLevelType w:val="multilevel"/>
    <w:tmpl w:val="30A21B3E"/>
    <w:lvl w:ilvl="0">
      <w:start w:val="21"/>
      <w:numFmt w:val="decimal"/>
      <w:lvlText w:val="%1."/>
      <w:lvlJc w:val="left"/>
      <w:pPr>
        <w:tabs>
          <w:tab w:val="num" w:pos="0"/>
        </w:tabs>
        <w:ind w:left="284" w:hanging="28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6" w15:restartNumberingAfterBreak="0">
    <w:nsid w:val="2EA80D96"/>
    <w:multiLevelType w:val="hybridMultilevel"/>
    <w:tmpl w:val="F16C51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5BC2A3D"/>
    <w:multiLevelType w:val="multilevel"/>
    <w:tmpl w:val="562EA50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" w15:restartNumberingAfterBreak="0">
    <w:nsid w:val="430F608B"/>
    <w:multiLevelType w:val="multilevel"/>
    <w:tmpl w:val="F2EAB1E6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9" w15:restartNumberingAfterBreak="0">
    <w:nsid w:val="5FBC6B5B"/>
    <w:multiLevelType w:val="hybridMultilevel"/>
    <w:tmpl w:val="AAACF2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B7D7B12"/>
    <w:multiLevelType w:val="multilevel"/>
    <w:tmpl w:val="F2EAB1E6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1" w15:restartNumberingAfterBreak="0">
    <w:nsid w:val="782628A3"/>
    <w:multiLevelType w:val="multilevel"/>
    <w:tmpl w:val="9CF287CA"/>
    <w:lvl w:ilvl="0">
      <w:start w:val="32"/>
      <w:numFmt w:val="decimal"/>
      <w:lvlText w:val="%1."/>
      <w:lvlJc w:val="left"/>
      <w:pPr>
        <w:tabs>
          <w:tab w:val="num" w:pos="0"/>
        </w:tabs>
        <w:ind w:left="284" w:hanging="28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12" w15:restartNumberingAfterBreak="0">
    <w:nsid w:val="7BD20221"/>
    <w:multiLevelType w:val="multilevel"/>
    <w:tmpl w:val="F2EAB1E6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4"/>
  </w:num>
  <w:num w:numId="2">
    <w:abstractNumId w:val="7"/>
  </w:num>
  <w:num w:numId="3">
    <w:abstractNumId w:val="1"/>
  </w:num>
  <w:num w:numId="4">
    <w:abstractNumId w:val="5"/>
  </w:num>
  <w:num w:numId="5">
    <w:abstractNumId w:val="11"/>
  </w:num>
  <w:num w:numId="6">
    <w:abstractNumId w:val="6"/>
  </w:num>
  <w:num w:numId="7">
    <w:abstractNumId w:val="12"/>
  </w:num>
  <w:num w:numId="8">
    <w:abstractNumId w:val="3"/>
  </w:num>
  <w:num w:numId="9">
    <w:abstractNumId w:val="2"/>
  </w:num>
  <w:num w:numId="10">
    <w:abstractNumId w:val="9"/>
  </w:num>
  <w:num w:numId="11">
    <w:abstractNumId w:val="10"/>
  </w:num>
  <w:num w:numId="12">
    <w:abstractNumId w:val="0"/>
  </w:num>
  <w:num w:numId="13">
    <w:abstractNumId w:val="8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4C1"/>
    <w:rsid w:val="00034F03"/>
    <w:rsid w:val="000A64C2"/>
    <w:rsid w:val="000B3538"/>
    <w:rsid w:val="000D0FB1"/>
    <w:rsid w:val="001B18B2"/>
    <w:rsid w:val="001B29F0"/>
    <w:rsid w:val="001C37B1"/>
    <w:rsid w:val="001E4462"/>
    <w:rsid w:val="00295574"/>
    <w:rsid w:val="002A25C3"/>
    <w:rsid w:val="002C02B1"/>
    <w:rsid w:val="002C1484"/>
    <w:rsid w:val="002C6C47"/>
    <w:rsid w:val="00315C3C"/>
    <w:rsid w:val="003356F5"/>
    <w:rsid w:val="00376BF3"/>
    <w:rsid w:val="00391508"/>
    <w:rsid w:val="003A5470"/>
    <w:rsid w:val="003A55D6"/>
    <w:rsid w:val="003B0245"/>
    <w:rsid w:val="003E08EC"/>
    <w:rsid w:val="003F3501"/>
    <w:rsid w:val="004736F8"/>
    <w:rsid w:val="00482B14"/>
    <w:rsid w:val="0049221B"/>
    <w:rsid w:val="004E1841"/>
    <w:rsid w:val="0052157F"/>
    <w:rsid w:val="0053095A"/>
    <w:rsid w:val="00537D57"/>
    <w:rsid w:val="0055049F"/>
    <w:rsid w:val="00554556"/>
    <w:rsid w:val="005850CE"/>
    <w:rsid w:val="00597BCB"/>
    <w:rsid w:val="005B2CF0"/>
    <w:rsid w:val="005B418D"/>
    <w:rsid w:val="00627A55"/>
    <w:rsid w:val="006345F5"/>
    <w:rsid w:val="00660105"/>
    <w:rsid w:val="006633AE"/>
    <w:rsid w:val="00675E17"/>
    <w:rsid w:val="006C5786"/>
    <w:rsid w:val="006D4D16"/>
    <w:rsid w:val="0071164C"/>
    <w:rsid w:val="00723921"/>
    <w:rsid w:val="00745A8D"/>
    <w:rsid w:val="008007EB"/>
    <w:rsid w:val="00822078"/>
    <w:rsid w:val="008630B9"/>
    <w:rsid w:val="008818CF"/>
    <w:rsid w:val="00886898"/>
    <w:rsid w:val="008B5721"/>
    <w:rsid w:val="008E086D"/>
    <w:rsid w:val="008E13EE"/>
    <w:rsid w:val="008E3A72"/>
    <w:rsid w:val="00900E2E"/>
    <w:rsid w:val="00906F3F"/>
    <w:rsid w:val="00912D4E"/>
    <w:rsid w:val="00940265"/>
    <w:rsid w:val="009415DF"/>
    <w:rsid w:val="009853DD"/>
    <w:rsid w:val="009B201E"/>
    <w:rsid w:val="009C7229"/>
    <w:rsid w:val="00A24650"/>
    <w:rsid w:val="00A77552"/>
    <w:rsid w:val="00AC1E28"/>
    <w:rsid w:val="00AC3234"/>
    <w:rsid w:val="00AF6EC7"/>
    <w:rsid w:val="00B017F6"/>
    <w:rsid w:val="00B42E26"/>
    <w:rsid w:val="00B4654F"/>
    <w:rsid w:val="00B77AEE"/>
    <w:rsid w:val="00B92C1C"/>
    <w:rsid w:val="00BE20A0"/>
    <w:rsid w:val="00BE5556"/>
    <w:rsid w:val="00C40B27"/>
    <w:rsid w:val="00C414C1"/>
    <w:rsid w:val="00CC2D45"/>
    <w:rsid w:val="00D5461D"/>
    <w:rsid w:val="00D61CEF"/>
    <w:rsid w:val="00D768FD"/>
    <w:rsid w:val="00D847C0"/>
    <w:rsid w:val="00D86841"/>
    <w:rsid w:val="00D949B0"/>
    <w:rsid w:val="00E4317B"/>
    <w:rsid w:val="00E64BE1"/>
    <w:rsid w:val="00EE3C54"/>
    <w:rsid w:val="00F2214D"/>
    <w:rsid w:val="00F27922"/>
    <w:rsid w:val="00F42F5B"/>
    <w:rsid w:val="00F53E5E"/>
    <w:rsid w:val="00F95EA7"/>
    <w:rsid w:val="00F960FE"/>
    <w:rsid w:val="00FB637D"/>
    <w:rsid w:val="00FD3384"/>
    <w:rsid w:val="00FD40AA"/>
    <w:rsid w:val="00FE0B57"/>
    <w:rsid w:val="00FF42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2C2CDA3-C23B-421C-9649-D89E7A60F9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A5470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pPr>
      <w:keepNext/>
      <w:keepLines/>
      <w:spacing w:before="40"/>
      <w:outlineLvl w:val="1"/>
    </w:pPr>
    <w:rPr>
      <w:rFonts w:ascii="Calibri Light" w:eastAsia="Calibri" w:hAnsi="Calibri Light"/>
      <w:color w:val="2F5496"/>
      <w:sz w:val="26"/>
      <w:szCs w:val="26"/>
    </w:rPr>
  </w:style>
  <w:style w:type="paragraph" w:styleId="Nagwek3">
    <w:name w:val="heading 3"/>
    <w:basedOn w:val="Akapitzlist"/>
    <w:next w:val="Normalny"/>
    <w:link w:val="Nagwek3Znak"/>
    <w:qFormat/>
    <w:pPr>
      <w:spacing w:before="240" w:after="27" w:line="290" w:lineRule="auto"/>
      <w:ind w:left="0"/>
      <w:contextualSpacing/>
      <w:outlineLvl w:val="2"/>
    </w:pPr>
    <w:rPr>
      <w:rFonts w:ascii="Cambria" w:hAnsi="Cambria" w:cs="Cambria"/>
      <w:b/>
      <w:color w:val="000000"/>
      <w:sz w:val="24"/>
      <w:szCs w:val="24"/>
      <w:lang w:val="pl-PL"/>
    </w:rPr>
  </w:style>
  <w:style w:type="paragraph" w:styleId="Nagwek4">
    <w:name w:val="heading 4"/>
    <w:basedOn w:val="Normalny"/>
    <w:next w:val="Normalny"/>
    <w:link w:val="Nagwek4Znak"/>
    <w:qFormat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  <w:sz w:val="20"/>
      <w:szCs w:val="20"/>
      <w:lang w:val="x-none"/>
    </w:rPr>
  </w:style>
  <w:style w:type="paragraph" w:styleId="Nagwek5">
    <w:name w:val="heading 5"/>
    <w:basedOn w:val="Normalny"/>
    <w:next w:val="Normalny"/>
    <w:link w:val="Nagwek5Znak"/>
    <w:qFormat/>
    <w:pPr>
      <w:keepNext/>
      <w:keepLines/>
      <w:spacing w:before="40" w:line="290" w:lineRule="auto"/>
      <w:ind w:left="10" w:hanging="10"/>
      <w:outlineLvl w:val="4"/>
    </w:pPr>
    <w:rPr>
      <w:rFonts w:ascii="Cambria" w:hAnsi="Cambria"/>
      <w:color w:val="365F91"/>
    </w:rPr>
  </w:style>
  <w:style w:type="paragraph" w:styleId="Nagwek6">
    <w:name w:val="heading 6"/>
    <w:basedOn w:val="Normalny"/>
    <w:next w:val="Normalny"/>
    <w:link w:val="Nagwek6Znak"/>
    <w:qFormat/>
    <w:pPr>
      <w:keepNext/>
      <w:keepLines/>
      <w:spacing w:before="200" w:after="40" w:line="259" w:lineRule="auto"/>
      <w:jc w:val="right"/>
      <w:outlineLvl w:val="5"/>
    </w:pPr>
    <w:rPr>
      <w:rFonts w:ascii="Calibri" w:eastAsia="Calibri" w:hAnsi="Calibri" w:cs="Calibri"/>
      <w:b/>
      <w:color w:val="000000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kapitzlistZnak">
    <w:name w:val="Akapit z listą Znak"/>
    <w:link w:val="Akapitzlist"/>
    <w:qFormat/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customStyle="1" w:styleId="Domylnaczcionkaakapitu1">
    <w:name w:val="Domyślna czcionka akapitu1"/>
    <w:qFormat/>
  </w:style>
  <w:style w:type="character" w:customStyle="1" w:styleId="TekstpodstawowywcityZnak">
    <w:name w:val="Tekst podstawowy wcięty Znak"/>
    <w:link w:val="Tekstpodstawowywcity"/>
    <w:qFormat/>
    <w:rPr>
      <w:lang w:val="x-none" w:eastAsia="x-none"/>
    </w:rPr>
  </w:style>
  <w:style w:type="character" w:customStyle="1" w:styleId="TekstdymkaZnak">
    <w:name w:val="Tekst dymka Znak"/>
    <w:link w:val="Tekstdymka"/>
    <w:qFormat/>
    <w:rPr>
      <w:rFonts w:ascii="Tahoma" w:eastAsia="Times New Roman" w:hAnsi="Tahoma" w:cs="Tahoma"/>
      <w:sz w:val="16"/>
      <w:szCs w:val="16"/>
    </w:rPr>
  </w:style>
  <w:style w:type="character" w:customStyle="1" w:styleId="ListParagraphChar">
    <w:name w:val="List Paragraph Char"/>
    <w:link w:val="Akapitzlist1"/>
    <w:qFormat/>
    <w:rPr>
      <w:sz w:val="22"/>
      <w:szCs w:val="22"/>
      <w:lang w:val="x-none" w:eastAsia="en-US"/>
    </w:rPr>
  </w:style>
  <w:style w:type="character" w:customStyle="1" w:styleId="NagwekZnak">
    <w:name w:val="Nagłówek Znak"/>
    <w:basedOn w:val="Domylnaczcionkaakapitu"/>
    <w:link w:val="Nagwek"/>
    <w:qFormat/>
    <w:rPr>
      <w:rFonts w:ascii="Times New Roman" w:eastAsia="Times New Roman" w:hAnsi="Times New Roman"/>
      <w:sz w:val="24"/>
      <w:szCs w:val="24"/>
    </w:rPr>
  </w:style>
  <w:style w:type="character" w:customStyle="1" w:styleId="StopkaZnak">
    <w:name w:val="Stopka Znak"/>
    <w:basedOn w:val="Domylnaczcionkaakapitu"/>
    <w:link w:val="Stopka"/>
    <w:qFormat/>
    <w:rPr>
      <w:rFonts w:ascii="Times New Roman" w:eastAsia="Times New Roman" w:hAnsi="Times New Roman"/>
      <w:sz w:val="24"/>
      <w:szCs w:val="24"/>
    </w:rPr>
  </w:style>
  <w:style w:type="character" w:styleId="Odwoaniedokomentarza">
    <w:name w:val="annotation reference"/>
    <w:basedOn w:val="Domylnaczcionkaakapitu"/>
    <w:qFormat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qFormat/>
    <w:rPr>
      <w:rFonts w:cs="Calibri"/>
      <w:color w:val="000000"/>
      <w:u w:val="none"/>
      <w:lang w:val="de-DE"/>
    </w:rPr>
  </w:style>
  <w:style w:type="character" w:customStyle="1" w:styleId="Nagwek4Znak">
    <w:name w:val="Nagłówek 4 Znak"/>
    <w:basedOn w:val="Domylnaczcionkaakapitu"/>
    <w:link w:val="Nagwek4"/>
    <w:qFormat/>
    <w:rPr>
      <w:rFonts w:ascii="Cambria" w:eastAsia="Times New Roman" w:hAnsi="Cambria"/>
      <w:b/>
      <w:bCs/>
      <w:i/>
      <w:iCs/>
      <w:color w:val="4F81BD"/>
      <w:lang w:val="x-none"/>
    </w:rPr>
  </w:style>
  <w:style w:type="character" w:customStyle="1" w:styleId="A2">
    <w:name w:val="A2"/>
    <w:qFormat/>
    <w:rPr>
      <w:rFonts w:cs="Siemens Sans"/>
      <w:color w:val="000000"/>
    </w:rPr>
  </w:style>
  <w:style w:type="character" w:customStyle="1" w:styleId="ZwykytekstZnak">
    <w:name w:val="Zwykły tekst Znak"/>
    <w:basedOn w:val="Domylnaczcionkaakapitu"/>
    <w:link w:val="Zwykytekst"/>
    <w:qFormat/>
    <w:rPr>
      <w:rFonts w:ascii="Arial" w:eastAsia="Calibri" w:hAnsi="Arial" w:cs="Arial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qFormat/>
    <w:rPr>
      <w:rFonts w:ascii="Times New Roman" w:eastAsia="Times New Roman" w:hAnsi="Times New Roman"/>
      <w:sz w:val="24"/>
      <w:szCs w:val="24"/>
    </w:rPr>
  </w:style>
  <w:style w:type="character" w:customStyle="1" w:styleId="Podpistabeli">
    <w:name w:val="Podpis tabeli_"/>
    <w:basedOn w:val="Domylnaczcionkaakapitu"/>
    <w:link w:val="Podpistabeli0"/>
    <w:qFormat/>
    <w:rPr>
      <w:rFonts w:ascii="Times New Roman" w:hAnsi="Times New Roman"/>
      <w:sz w:val="18"/>
      <w:szCs w:val="18"/>
      <w:shd w:val="clear" w:color="auto" w:fill="FFFFFF"/>
    </w:rPr>
  </w:style>
  <w:style w:type="character" w:customStyle="1" w:styleId="Nagwek2Znak">
    <w:name w:val="Nagłówek 2 Znak"/>
    <w:basedOn w:val="Domylnaczcionkaakapitu"/>
    <w:link w:val="Nagwek2"/>
    <w:qFormat/>
    <w:rPr>
      <w:rFonts w:ascii="Calibri Light" w:eastAsia="Calibri" w:hAnsi="Calibri Light" w:cs="Times New Roman"/>
      <w:color w:val="2F5496"/>
      <w:sz w:val="26"/>
      <w:szCs w:val="26"/>
    </w:rPr>
  </w:style>
  <w:style w:type="character" w:customStyle="1" w:styleId="Nagwek1Znak">
    <w:name w:val="Nagłówek 1 Znak"/>
    <w:basedOn w:val="Domylnaczcionkaakapitu"/>
    <w:link w:val="Nagwek1"/>
    <w:qFormat/>
    <w:rPr>
      <w:rFonts w:ascii="Arial" w:eastAsia="Times New Roman" w:hAnsi="Arial" w:cs="Arial"/>
      <w:b/>
      <w:bCs/>
      <w:kern w:val="2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qFormat/>
    <w:rPr>
      <w:rFonts w:ascii="Cambria" w:eastAsia="Times New Roman" w:hAnsi="Cambria" w:cs="Cambria"/>
      <w:b/>
      <w:color w:val="000000"/>
      <w:sz w:val="24"/>
      <w:szCs w:val="24"/>
    </w:rPr>
  </w:style>
  <w:style w:type="character" w:customStyle="1" w:styleId="Nagwek5Znak">
    <w:name w:val="Nagłówek 5 Znak"/>
    <w:basedOn w:val="Domylnaczcionkaakapitu"/>
    <w:link w:val="Nagwek5"/>
    <w:qFormat/>
    <w:rPr>
      <w:rFonts w:ascii="Cambria" w:eastAsia="Times New Roman" w:hAnsi="Cambria"/>
      <w:color w:val="365F91"/>
      <w:sz w:val="24"/>
      <w:szCs w:val="24"/>
    </w:rPr>
  </w:style>
  <w:style w:type="character" w:customStyle="1" w:styleId="Nagwek6Znak">
    <w:name w:val="Nagłówek 6 Znak"/>
    <w:basedOn w:val="Domylnaczcionkaakapitu"/>
    <w:link w:val="Nagwek6"/>
    <w:qFormat/>
    <w:rPr>
      <w:rFonts w:cs="Calibri"/>
      <w:b/>
      <w:color w:val="000000"/>
    </w:rPr>
  </w:style>
  <w:style w:type="character" w:customStyle="1" w:styleId="czeinternetowe">
    <w:name w:val="Łącze internetowe"/>
    <w:rPr>
      <w:color w:val="0000FF"/>
      <w:u w:val="single"/>
    </w:rPr>
  </w:style>
  <w:style w:type="character" w:styleId="Numerstrony">
    <w:name w:val="page number"/>
    <w:basedOn w:val="Domylnaczcionkaakapitu"/>
    <w:qFormat/>
  </w:style>
  <w:style w:type="character" w:customStyle="1" w:styleId="MapadokumentuZnak">
    <w:name w:val="Mapa dokumentu Znak"/>
    <w:basedOn w:val="Domylnaczcionkaakapitu"/>
    <w:link w:val="Mapadokumentu"/>
    <w:qFormat/>
    <w:rPr>
      <w:rFonts w:ascii="Tahoma" w:eastAsia="Times New Roman" w:hAnsi="Tahoma"/>
      <w:sz w:val="16"/>
      <w:szCs w:val="16"/>
      <w:lang w:val="x-none" w:eastAsia="x-none"/>
    </w:rPr>
  </w:style>
  <w:style w:type="character" w:customStyle="1" w:styleId="attributenametext">
    <w:name w:val="attribute_name_text"/>
    <w:qFormat/>
  </w:style>
  <w:style w:type="character" w:styleId="Pogrubienie">
    <w:name w:val="Strong"/>
    <w:qFormat/>
    <w:rPr>
      <w:b/>
      <w:bCs/>
    </w:rPr>
  </w:style>
  <w:style w:type="character" w:customStyle="1" w:styleId="fontstyle01">
    <w:name w:val="fontstyle01"/>
    <w:qFormat/>
    <w:rPr>
      <w:rFonts w:ascii="Helvetica" w:hAnsi="Helvetica"/>
      <w:b w:val="0"/>
      <w:bCs w:val="0"/>
      <w:i w:val="0"/>
      <w:iCs w:val="0"/>
      <w:color w:val="000000"/>
      <w:sz w:val="20"/>
      <w:szCs w:val="20"/>
    </w:rPr>
  </w:style>
  <w:style w:type="character" w:customStyle="1" w:styleId="fontstyle21">
    <w:name w:val="fontstyle21"/>
    <w:qFormat/>
    <w:rPr>
      <w:rFonts w:ascii="Arial" w:hAnsi="Arial" w:cs="Arial"/>
      <w:b w:val="0"/>
      <w:bCs w:val="0"/>
      <w:i w:val="0"/>
      <w:iCs w:val="0"/>
      <w:color w:val="000000"/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qFormat/>
    <w:rPr>
      <w:rFonts w:ascii="Times New Roman" w:eastAsia="Times New Roman" w:hAnsi="Times New Roman"/>
    </w:rPr>
  </w:style>
  <w:style w:type="character" w:customStyle="1" w:styleId="Zakotwiczenieprzypisukocowego">
    <w:name w:val="Zakotwiczenie przypisu końcowego"/>
    <w:rPr>
      <w:vertAlign w:val="superscript"/>
    </w:rPr>
  </w:style>
  <w:style w:type="character" w:customStyle="1" w:styleId="EndnoteCharacters">
    <w:name w:val="Endnote Characters"/>
    <w:qFormat/>
    <w:rPr>
      <w:vertAlign w:val="superscript"/>
    </w:rPr>
  </w:style>
  <w:style w:type="character" w:customStyle="1" w:styleId="style5">
    <w:name w:val="style5"/>
    <w:qFormat/>
  </w:style>
  <w:style w:type="character" w:customStyle="1" w:styleId="TytuZnak">
    <w:name w:val="Tytuł Znak"/>
    <w:link w:val="Tytu"/>
    <w:qFormat/>
    <w:rPr>
      <w:sz w:val="36"/>
    </w:rPr>
  </w:style>
  <w:style w:type="character" w:customStyle="1" w:styleId="TytuZnak1">
    <w:name w:val="Tytuł Znak1"/>
    <w:basedOn w:val="Domylnaczcionkaakapitu"/>
    <w:qFormat/>
    <w:rPr>
      <w:rFonts w:ascii="Calibri Light" w:eastAsia="Calibri" w:hAnsi="Calibri Light" w:cs="Times New Roman"/>
      <w:spacing w:val="-10"/>
      <w:kern w:val="2"/>
      <w:sz w:val="56"/>
      <w:szCs w:val="56"/>
    </w:rPr>
  </w:style>
  <w:style w:type="character" w:customStyle="1" w:styleId="UnresolvedMention1">
    <w:name w:val="Unresolved Mention1"/>
    <w:qFormat/>
    <w:rPr>
      <w:color w:val="605E5C"/>
      <w:shd w:val="clear" w:color="auto" w:fill="E1DFDD"/>
    </w:rPr>
  </w:style>
  <w:style w:type="character" w:customStyle="1" w:styleId="TematkomentarzaZnak">
    <w:name w:val="Temat komentarza Znak"/>
    <w:basedOn w:val="TekstkomentarzaZnak"/>
    <w:link w:val="Tematkomentarza"/>
    <w:qFormat/>
    <w:rPr>
      <w:rFonts w:ascii="Cambria" w:eastAsia="Times New Roman" w:hAnsi="Cambria" w:cs="Cambria"/>
      <w:b/>
      <w:bCs/>
      <w:color w:val="000000"/>
      <w:u w:val="none"/>
      <w:lang w:val="de-DE"/>
    </w:rPr>
  </w:style>
  <w:style w:type="character" w:customStyle="1" w:styleId="HTML-wstpniesformatowanyZnak">
    <w:name w:val="HTML - wstępnie sformatowany Znak"/>
    <w:qFormat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BezodstpwZnak">
    <w:name w:val="Bez odstępów Znak"/>
    <w:link w:val="Bezodstpw"/>
    <w:qFormat/>
    <w:rPr>
      <w:rFonts w:ascii="Times New Roman" w:eastAsia="Times New Roman" w:hAnsi="Times New Roman"/>
      <w:sz w:val="24"/>
      <w:szCs w:val="24"/>
    </w:rPr>
  </w:style>
  <w:style w:type="character" w:customStyle="1" w:styleId="FontStyle41">
    <w:name w:val="Font Style41"/>
    <w:qFormat/>
    <w:rPr>
      <w:rFonts w:ascii="Calibri" w:hAnsi="Calibri" w:cs="Calibri"/>
      <w:sz w:val="18"/>
      <w:szCs w:val="18"/>
    </w:rPr>
  </w:style>
  <w:style w:type="character" w:customStyle="1" w:styleId="abcZnakZnak">
    <w:name w:val="abc Znak Znak"/>
    <w:qFormat/>
    <w:rPr>
      <w:rFonts w:ascii="Arial Narrow" w:eastAsia="Times New Roman" w:hAnsi="Arial Narrow"/>
      <w:b/>
      <w:color w:val="000000"/>
      <w:sz w:val="24"/>
      <w:szCs w:val="24"/>
    </w:rPr>
  </w:style>
  <w:style w:type="character" w:customStyle="1" w:styleId="normaltextrun">
    <w:name w:val="normaltextrun"/>
    <w:basedOn w:val="Domylnaczcionkaakapitu"/>
    <w:qFormat/>
  </w:style>
  <w:style w:type="character" w:customStyle="1" w:styleId="eop">
    <w:name w:val="eop"/>
    <w:basedOn w:val="Domylnaczcionkaakapitu"/>
    <w:qFormat/>
  </w:style>
  <w:style w:type="character" w:customStyle="1" w:styleId="normaltextrun1">
    <w:name w:val="normaltextrun1"/>
    <w:basedOn w:val="Domylnaczcionkaakapitu"/>
    <w:qFormat/>
  </w:style>
  <w:style w:type="character" w:customStyle="1" w:styleId="Nierozpoznanawzmianka1">
    <w:name w:val="Nierozpoznana wzmianka1"/>
    <w:qFormat/>
    <w:rPr>
      <w:color w:val="605E5C"/>
      <w:shd w:val="clear" w:color="auto" w:fill="E1DFDD"/>
    </w:rPr>
  </w:style>
  <w:style w:type="character" w:customStyle="1" w:styleId="Wzmianka1">
    <w:name w:val="Wzmianka1"/>
    <w:qFormat/>
    <w:rPr>
      <w:color w:val="2B579A"/>
      <w:shd w:val="clear" w:color="auto" w:fill="E1DFDD"/>
    </w:rPr>
  </w:style>
  <w:style w:type="character" w:customStyle="1" w:styleId="HTML-wstpniesformatowanyZnak1">
    <w:name w:val="HTML - wstępnie sformatowany Znak1"/>
    <w:link w:val="HTML-wstpniesformatowany"/>
    <w:qFormat/>
    <w:rPr>
      <w:rFonts w:ascii="Courier New" w:hAnsi="Courier New" w:cs="Courier New"/>
    </w:rPr>
  </w:style>
  <w:style w:type="character" w:customStyle="1" w:styleId="TekstdymkaZnak1">
    <w:name w:val="Tekst dymka Znak1"/>
    <w:qFormat/>
    <w:rPr>
      <w:rFonts w:ascii="Segoe UI" w:eastAsia="Calibri" w:hAnsi="Segoe UI" w:cs="Segoe UI"/>
      <w:color w:val="000000"/>
      <w:sz w:val="18"/>
      <w:szCs w:val="18"/>
    </w:rPr>
  </w:style>
  <w:style w:type="character" w:customStyle="1" w:styleId="TekstkomentarzaZnak1">
    <w:name w:val="Tekst komentarza Znak1"/>
    <w:qFormat/>
    <w:rPr>
      <w:rFonts w:ascii="Calibri" w:eastAsia="Calibri" w:hAnsi="Calibri" w:cs="Calibri"/>
      <w:color w:val="000000"/>
      <w:sz w:val="20"/>
      <w:szCs w:val="20"/>
    </w:rPr>
  </w:style>
  <w:style w:type="character" w:customStyle="1" w:styleId="TematkomentarzaZnak1">
    <w:name w:val="Temat komentarza Znak1"/>
    <w:qFormat/>
    <w:rPr>
      <w:rFonts w:ascii="Calibri" w:eastAsia="Calibri" w:hAnsi="Calibri" w:cs="Calibri"/>
      <w:b/>
      <w:bCs/>
      <w:color w:val="000000"/>
      <w:sz w:val="20"/>
      <w:szCs w:val="20"/>
    </w:rPr>
  </w:style>
  <w:style w:type="character" w:customStyle="1" w:styleId="Odwiedzoneczeinternetowe">
    <w:name w:val="Odwiedzone łącze internetowe"/>
    <w:rPr>
      <w:color w:val="954F72"/>
      <w:u w:val="single"/>
    </w:rPr>
  </w:style>
  <w:style w:type="character" w:customStyle="1" w:styleId="NagwekZnak1">
    <w:name w:val="Nagłówek Znak1"/>
    <w:qFormat/>
    <w:rPr>
      <w:rFonts w:ascii="Cambria" w:eastAsia="Times New Roman" w:hAnsi="Cambria" w:cs="Cambria"/>
      <w:color w:val="000000"/>
      <w:sz w:val="24"/>
      <w:szCs w:val="24"/>
      <w:lang w:eastAsia="pl-PL"/>
    </w:rPr>
  </w:style>
  <w:style w:type="character" w:customStyle="1" w:styleId="StopkaZnak1">
    <w:name w:val="Stopka Znak1"/>
    <w:qFormat/>
    <w:rPr>
      <w:rFonts w:ascii="Cambria" w:eastAsia="Times New Roman" w:hAnsi="Cambria" w:cs="Cambria"/>
      <w:color w:val="000000"/>
      <w:sz w:val="24"/>
      <w:szCs w:val="24"/>
      <w:lang w:eastAsia="pl-PL"/>
    </w:rPr>
  </w:style>
  <w:style w:type="character" w:customStyle="1" w:styleId="HTML-wstpniesformatowanyZnak2">
    <w:name w:val="HTML - wstępnie sformatowany Znak2"/>
    <w:basedOn w:val="Domylnaczcionkaakapitu"/>
    <w:qFormat/>
    <w:rPr>
      <w:rFonts w:ascii="Consolas" w:eastAsia="Times New Roman" w:hAnsi="Consolas"/>
    </w:rPr>
  </w:style>
  <w:style w:type="character" w:customStyle="1" w:styleId="PodtytuZnak">
    <w:name w:val="Podtytuł Znak"/>
    <w:basedOn w:val="Domylnaczcionkaakapitu"/>
    <w:link w:val="Podtytu"/>
    <w:qFormat/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Numeracjawierszy">
    <w:name w:val="Numeracja wierszy"/>
  </w:style>
  <w:style w:type="paragraph" w:styleId="Nagwek">
    <w:name w:val="header"/>
    <w:basedOn w:val="Normalny"/>
    <w:next w:val="Tekstpodstawowy"/>
    <w:link w:val="NagwekZnak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pPr>
      <w:spacing w:after="120"/>
    </w:pPr>
  </w:style>
  <w:style w:type="paragraph" w:styleId="Lista">
    <w:name w:val="List"/>
    <w:basedOn w:val="Tekstpodstawowy1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ascii="Arial" w:hAnsi="Arial" w:cs="Lucida Sans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ascii="Arial" w:hAnsi="Arial" w:cs="Lucida Sans"/>
      <w:sz w:val="22"/>
      <w:szCs w:val="19"/>
    </w:rPr>
  </w:style>
  <w:style w:type="paragraph" w:customStyle="1" w:styleId="Gwkaistopka">
    <w:name w:val="Główka i stopka"/>
    <w:basedOn w:val="Normalny"/>
    <w:qFormat/>
    <w:rPr>
      <w:rFonts w:ascii="Arial" w:hAnsi="Arial"/>
      <w:sz w:val="22"/>
      <w:szCs w:val="19"/>
    </w:rPr>
  </w:style>
  <w:style w:type="paragraph" w:styleId="Akapitzlist">
    <w:name w:val="List Paragraph"/>
    <w:basedOn w:val="Normalny"/>
    <w:link w:val="AkapitzlistZnak"/>
    <w:qFormat/>
    <w:pPr>
      <w:ind w:left="708"/>
    </w:pPr>
    <w:rPr>
      <w:sz w:val="20"/>
      <w:szCs w:val="20"/>
      <w:lang w:val="x-none"/>
    </w:rPr>
  </w:style>
  <w:style w:type="paragraph" w:styleId="Bezodstpw">
    <w:name w:val="No Spacing"/>
    <w:link w:val="BezodstpwZnak"/>
    <w:qFormat/>
    <w:rPr>
      <w:rFonts w:ascii="Times New Roman" w:eastAsia="Times New Roman" w:hAnsi="Times New Roman"/>
      <w:sz w:val="24"/>
      <w:szCs w:val="24"/>
    </w:rPr>
  </w:style>
  <w:style w:type="paragraph" w:styleId="Tekstpodstawowywcity">
    <w:name w:val="Body Text Indent"/>
    <w:basedOn w:val="Normalny"/>
    <w:link w:val="TekstpodstawowywcityZnak"/>
    <w:pPr>
      <w:spacing w:after="120" w:line="276" w:lineRule="auto"/>
      <w:ind w:left="283"/>
    </w:pPr>
    <w:rPr>
      <w:rFonts w:ascii="Calibri" w:eastAsia="Calibri" w:hAnsi="Calibri"/>
      <w:sz w:val="20"/>
      <w:szCs w:val="20"/>
      <w:lang w:val="x-none" w:eastAsia="x-none"/>
    </w:rPr>
  </w:style>
  <w:style w:type="paragraph" w:customStyle="1" w:styleId="Bezodstpw1">
    <w:name w:val="Bez odstępów1"/>
    <w:qFormat/>
    <w:rPr>
      <w:rFonts w:ascii="Cambria" w:eastAsia="Times New Roman" w:hAnsi="Cambria" w:cs="Cambria"/>
      <w:sz w:val="24"/>
      <w:szCs w:val="24"/>
      <w:lang w:val="cs-CZ"/>
    </w:rPr>
  </w:style>
  <w:style w:type="paragraph" w:styleId="NormalnyWeb">
    <w:name w:val="Normal (Web)"/>
    <w:basedOn w:val="Normalny"/>
    <w:qFormat/>
    <w:pPr>
      <w:widowControl w:val="0"/>
      <w:spacing w:before="280" w:after="280" w:line="100" w:lineRule="atLeast"/>
      <w:textAlignment w:val="baseline"/>
    </w:pPr>
    <w:rPr>
      <w:rFonts w:eastAsia="Andale Sans UI" w:cs="Tahoma"/>
      <w:kern w:val="2"/>
      <w:lang w:val="de-DE" w:eastAsia="fa-IR" w:bidi="fa-IR"/>
    </w:rPr>
  </w:style>
  <w:style w:type="paragraph" w:customStyle="1" w:styleId="Default">
    <w:name w:val="Default"/>
    <w:qFormat/>
    <w:rPr>
      <w:rFonts w:ascii="Siemens Sans" w:hAnsi="Siemens Sans" w:cs="Siemens Sans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qFormat/>
    <w:rPr>
      <w:rFonts w:ascii="Tahoma" w:hAnsi="Tahoma" w:cs="Tahoma"/>
      <w:sz w:val="16"/>
      <w:szCs w:val="16"/>
    </w:rPr>
  </w:style>
  <w:style w:type="paragraph" w:customStyle="1" w:styleId="Akapitzlist1">
    <w:name w:val="Akapit z listą1"/>
    <w:basedOn w:val="Normalny"/>
    <w:link w:val="ListParagraphChar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paragraph" w:styleId="Tekstkomentarza">
    <w:name w:val="annotation text"/>
    <w:basedOn w:val="Normalny"/>
    <w:link w:val="TekstkomentarzaZnak"/>
    <w:qFormat/>
    <w:pPr>
      <w:spacing w:after="200"/>
    </w:pPr>
    <w:rPr>
      <w:rFonts w:ascii="Calibri" w:eastAsia="Calibri" w:hAnsi="Calibri" w:cs="Calibri"/>
      <w:color w:val="000000"/>
      <w:sz w:val="20"/>
      <w:szCs w:val="20"/>
      <w:lang w:val="de-DE"/>
    </w:rPr>
  </w:style>
  <w:style w:type="paragraph" w:customStyle="1" w:styleId="Akapitzlist2">
    <w:name w:val="Akapit z listą2"/>
    <w:basedOn w:val="Normalny"/>
    <w:qFormat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x-none" w:eastAsia="en-US"/>
    </w:rPr>
  </w:style>
  <w:style w:type="paragraph" w:customStyle="1" w:styleId="AbsatzTableFormat">
    <w:name w:val="AbsatzTableFormat"/>
    <w:basedOn w:val="Normalny"/>
    <w:qFormat/>
    <w:rPr>
      <w:rFonts w:ascii="Arial" w:eastAsia="MS Mincho" w:hAnsi="Arial"/>
      <w:sz w:val="22"/>
      <w:szCs w:val="20"/>
    </w:rPr>
  </w:style>
  <w:style w:type="paragraph" w:customStyle="1" w:styleId="Pa16">
    <w:name w:val="Pa16"/>
    <w:basedOn w:val="Default"/>
    <w:next w:val="Default"/>
    <w:qFormat/>
    <w:pPr>
      <w:spacing w:line="241" w:lineRule="atLeast"/>
    </w:pPr>
    <w:rPr>
      <w:rFonts w:cs="Times New Roman"/>
      <w:color w:val="auto"/>
    </w:rPr>
  </w:style>
  <w:style w:type="paragraph" w:styleId="Zwykytekst">
    <w:name w:val="Plain Text"/>
    <w:basedOn w:val="Normalny"/>
    <w:link w:val="ZwykytekstZnak"/>
    <w:qFormat/>
    <w:rPr>
      <w:rFonts w:ascii="Arial" w:eastAsia="Calibri" w:hAnsi="Arial" w:cs="Arial"/>
      <w:sz w:val="20"/>
      <w:szCs w:val="20"/>
      <w:lang w:eastAsia="en-US"/>
    </w:rPr>
  </w:style>
  <w:style w:type="paragraph" w:customStyle="1" w:styleId="Standard">
    <w:name w:val="Standard"/>
    <w:qFormat/>
    <w:pPr>
      <w:widowControl w:val="0"/>
      <w:textAlignment w:val="baseline"/>
    </w:pPr>
    <w:rPr>
      <w:rFonts w:ascii="Times New Roman" w:eastAsia="SimSun" w:hAnsi="Times New Roman" w:cs="Mangal"/>
      <w:kern w:val="2"/>
      <w:sz w:val="24"/>
      <w:szCs w:val="24"/>
      <w:lang w:eastAsia="zh-CN" w:bidi="hi-IN"/>
    </w:rPr>
  </w:style>
  <w:style w:type="paragraph" w:customStyle="1" w:styleId="Podpistabeli0">
    <w:name w:val="Podpis tabeli"/>
    <w:basedOn w:val="Normalny"/>
    <w:link w:val="Podpistabeli"/>
    <w:qFormat/>
    <w:pPr>
      <w:widowControl w:val="0"/>
      <w:shd w:val="clear" w:color="auto" w:fill="FFFFFF"/>
      <w:spacing w:line="240" w:lineRule="atLeast"/>
    </w:pPr>
    <w:rPr>
      <w:rFonts w:eastAsia="Calibri"/>
      <w:sz w:val="18"/>
      <w:szCs w:val="18"/>
    </w:rPr>
  </w:style>
  <w:style w:type="paragraph" w:customStyle="1" w:styleId="Zawartotabeli">
    <w:name w:val="Zawartość tabeli"/>
    <w:basedOn w:val="Normalny"/>
    <w:qFormat/>
    <w:pPr>
      <w:widowControl w:val="0"/>
      <w:suppressLineNumbers/>
    </w:pPr>
    <w:rPr>
      <w:rFonts w:ascii="Arial" w:hAnsi="Arial"/>
      <w:sz w:val="22"/>
      <w:szCs w:val="19"/>
    </w:rPr>
  </w:style>
  <w:style w:type="paragraph" w:customStyle="1" w:styleId="western">
    <w:name w:val="western"/>
    <w:basedOn w:val="Normalny"/>
    <w:qFormat/>
    <w:pPr>
      <w:spacing w:before="280" w:after="142" w:line="276" w:lineRule="auto"/>
    </w:pPr>
  </w:style>
  <w:style w:type="paragraph" w:customStyle="1" w:styleId="tekstwstpny">
    <w:name w:val="tekst wstępny"/>
    <w:basedOn w:val="Normalny"/>
    <w:qFormat/>
    <w:pPr>
      <w:spacing w:before="60" w:after="60"/>
    </w:pPr>
    <w:rPr>
      <w:sz w:val="20"/>
      <w:szCs w:val="20"/>
    </w:rPr>
  </w:style>
  <w:style w:type="paragraph" w:styleId="Mapadokumentu">
    <w:name w:val="Document Map"/>
    <w:basedOn w:val="Normalny"/>
    <w:link w:val="MapadokumentuZnak"/>
    <w:qFormat/>
    <w:rPr>
      <w:rFonts w:ascii="Tahoma" w:hAnsi="Tahoma"/>
      <w:sz w:val="16"/>
      <w:szCs w:val="16"/>
      <w:lang w:val="x-none" w:eastAsia="x-none"/>
    </w:rPr>
  </w:style>
  <w:style w:type="paragraph" w:styleId="Tekstprzypisukocowego">
    <w:name w:val="endnote text"/>
    <w:basedOn w:val="Normalny"/>
    <w:link w:val="TekstprzypisukocowegoZnak"/>
    <w:rPr>
      <w:sz w:val="20"/>
      <w:szCs w:val="20"/>
    </w:rPr>
  </w:style>
  <w:style w:type="paragraph" w:customStyle="1" w:styleId="AK2">
    <w:name w:val="AK_2"/>
    <w:basedOn w:val="pp2"/>
    <w:qFormat/>
    <w:pPr>
      <w:ind w:left="540" w:firstLine="540"/>
    </w:pPr>
  </w:style>
  <w:style w:type="paragraph" w:customStyle="1" w:styleId="pp2">
    <w:name w:val="pp_2"/>
    <w:basedOn w:val="Normalny"/>
    <w:qFormat/>
    <w:pPr>
      <w:spacing w:before="120"/>
      <w:ind w:left="1078" w:hanging="539"/>
      <w:jc w:val="both"/>
      <w:textAlignment w:val="baseline"/>
    </w:pPr>
    <w:rPr>
      <w:rFonts w:eastAsia="Arial"/>
      <w:szCs w:val="20"/>
      <w:lang w:eastAsia="ar-SA"/>
    </w:rPr>
  </w:style>
  <w:style w:type="paragraph" w:styleId="Tytu">
    <w:name w:val="Title"/>
    <w:basedOn w:val="Normalny"/>
    <w:link w:val="TytuZnak"/>
    <w:qFormat/>
    <w:pPr>
      <w:widowControl w:val="0"/>
      <w:spacing w:before="160"/>
      <w:jc w:val="center"/>
    </w:pPr>
    <w:rPr>
      <w:rFonts w:ascii="Calibri" w:eastAsia="Calibri" w:hAnsi="Calibri"/>
      <w:sz w:val="36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qFormat/>
    <w:pPr>
      <w:spacing w:after="27"/>
      <w:ind w:left="10" w:hanging="10"/>
    </w:pPr>
    <w:rPr>
      <w:rFonts w:ascii="Cambria" w:eastAsia="Times New Roman" w:hAnsi="Cambria" w:cs="Cambria"/>
      <w:b/>
      <w:bCs/>
      <w:lang w:val="pl-PL"/>
    </w:rPr>
  </w:style>
  <w:style w:type="paragraph" w:styleId="Nagwekindeksu">
    <w:name w:val="index heading"/>
    <w:basedOn w:val="Nagwek"/>
  </w:style>
  <w:style w:type="paragraph" w:styleId="Nagwekspisutreci">
    <w:name w:val="TOC Heading"/>
    <w:basedOn w:val="Nagwek1"/>
    <w:next w:val="Normalny"/>
    <w:pPr>
      <w:keepNext w:val="0"/>
      <w:spacing w:before="0" w:after="27" w:line="259" w:lineRule="auto"/>
      <w:contextualSpacing/>
      <w:outlineLvl w:val="9"/>
    </w:pPr>
    <w:rPr>
      <w:rFonts w:ascii="Cambria" w:hAnsi="Cambria" w:cs="Cambria"/>
      <w:b w:val="0"/>
      <w:bCs w:val="0"/>
      <w:color w:val="000000"/>
      <w:kern w:val="0"/>
      <w:szCs w:val="24"/>
    </w:rPr>
  </w:style>
  <w:style w:type="paragraph" w:styleId="Spistreci1">
    <w:name w:val="toc 1"/>
    <w:basedOn w:val="Normalny"/>
    <w:next w:val="Normalny"/>
    <w:autoRedefine/>
    <w:pPr>
      <w:spacing w:after="100" w:line="290" w:lineRule="auto"/>
      <w:ind w:hanging="10"/>
    </w:pPr>
    <w:rPr>
      <w:rFonts w:ascii="Cambria" w:hAnsi="Cambria" w:cs="Cambria"/>
      <w:color w:val="000000"/>
    </w:rPr>
  </w:style>
  <w:style w:type="paragraph" w:styleId="Spistreci2">
    <w:name w:val="toc 2"/>
    <w:basedOn w:val="Normalny"/>
    <w:next w:val="Normalny"/>
    <w:autoRedefine/>
    <w:pPr>
      <w:spacing w:after="100" w:line="290" w:lineRule="auto"/>
      <w:ind w:left="220" w:hanging="10"/>
    </w:pPr>
    <w:rPr>
      <w:rFonts w:ascii="Cambria" w:hAnsi="Cambria" w:cs="Cambria"/>
      <w:color w:val="000000"/>
    </w:rPr>
  </w:style>
  <w:style w:type="paragraph" w:styleId="Spistreci3">
    <w:name w:val="toc 3"/>
    <w:basedOn w:val="Normalny"/>
    <w:next w:val="Normalny"/>
    <w:autoRedefine/>
    <w:pPr>
      <w:spacing w:after="100" w:line="290" w:lineRule="auto"/>
      <w:ind w:left="480" w:hanging="10"/>
    </w:pPr>
    <w:rPr>
      <w:rFonts w:ascii="Cambria" w:hAnsi="Cambria" w:cs="Cambria"/>
      <w:color w:val="000000"/>
    </w:rPr>
  </w:style>
  <w:style w:type="paragraph" w:customStyle="1" w:styleId="Tekstpodstawowy1">
    <w:name w:val="Tekst podstawowy1"/>
    <w:basedOn w:val="Normalny"/>
    <w:qFormat/>
    <w:rPr>
      <w:rFonts w:ascii="Arial" w:hAnsi="Arial"/>
      <w:sz w:val="20"/>
      <w:szCs w:val="20"/>
    </w:rPr>
  </w:style>
  <w:style w:type="paragraph" w:customStyle="1" w:styleId="TableParagraph">
    <w:name w:val="Table Paragraph"/>
    <w:basedOn w:val="Normalny"/>
    <w:qFormat/>
    <w:pPr>
      <w:widowControl w:val="0"/>
    </w:pPr>
    <w:rPr>
      <w:rFonts w:ascii="Carlito" w:eastAsia="Carlito" w:hAnsi="Carlito" w:cs="Carlito"/>
      <w:sz w:val="22"/>
      <w:szCs w:val="19"/>
      <w:lang w:eastAsia="en-US"/>
    </w:rPr>
  </w:style>
  <w:style w:type="paragraph" w:styleId="HTML-wstpniesformatowany">
    <w:name w:val="HTML Preformatted"/>
    <w:basedOn w:val="Normalny"/>
    <w:link w:val="HTML-wstpniesformatowanyZnak1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Calibri" w:hAnsi="Courier New" w:cs="Courier New"/>
      <w:sz w:val="20"/>
      <w:szCs w:val="20"/>
    </w:rPr>
  </w:style>
  <w:style w:type="paragraph" w:customStyle="1" w:styleId="ZnakZnak5">
    <w:name w:val="Znak Znak5"/>
    <w:basedOn w:val="Normalny"/>
    <w:qFormat/>
  </w:style>
  <w:style w:type="paragraph" w:customStyle="1" w:styleId="abcZnak">
    <w:name w:val="abc Znak"/>
    <w:basedOn w:val="Normalny"/>
    <w:qFormat/>
    <w:pPr>
      <w:widowControl w:val="0"/>
    </w:pPr>
    <w:rPr>
      <w:rFonts w:ascii="Arial Narrow" w:hAnsi="Arial Narrow"/>
      <w:b/>
      <w:color w:val="000000"/>
    </w:rPr>
  </w:style>
  <w:style w:type="paragraph" w:customStyle="1" w:styleId="paragraph">
    <w:name w:val="paragraph"/>
    <w:basedOn w:val="Normalny"/>
    <w:qFormat/>
    <w:pPr>
      <w:spacing w:before="280" w:after="280"/>
    </w:pPr>
  </w:style>
  <w:style w:type="paragraph" w:styleId="Poprawka">
    <w:name w:val="Revision"/>
    <w:qFormat/>
    <w:pPr>
      <w:jc w:val="right"/>
    </w:pPr>
    <w:rPr>
      <w:rFonts w:ascii="Arial" w:eastAsia="Times New Roman" w:hAnsi="Arial"/>
      <w:sz w:val="19"/>
      <w:szCs w:val="19"/>
    </w:r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paragraph" w:styleId="Indeks1">
    <w:name w:val="index 1"/>
    <w:basedOn w:val="Normalny"/>
    <w:next w:val="Normalny"/>
    <w:autoRedefine/>
    <w:qFormat/>
    <w:pPr>
      <w:ind w:left="240" w:hanging="240"/>
    </w:pPr>
    <w:rPr>
      <w:rFonts w:ascii="Cambria" w:hAnsi="Cambria" w:cs="Cambria"/>
      <w:color w:val="000000"/>
    </w:rPr>
  </w:style>
  <w:style w:type="paragraph" w:styleId="Lista-kontynuacja2">
    <w:name w:val="List Continue 2"/>
    <w:basedOn w:val="Normalny"/>
    <w:qFormat/>
    <w:pPr>
      <w:spacing w:after="120" w:line="259" w:lineRule="auto"/>
      <w:ind w:left="566"/>
      <w:contextualSpacing/>
      <w:jc w:val="right"/>
    </w:pPr>
    <w:rPr>
      <w:rFonts w:ascii="Calibri" w:eastAsia="Calibri" w:hAnsi="Calibri" w:cs="Calibri"/>
      <w:color w:val="000000"/>
      <w:sz w:val="19"/>
      <w:szCs w:val="19"/>
    </w:rPr>
  </w:style>
  <w:style w:type="paragraph" w:customStyle="1" w:styleId="msonormal0">
    <w:name w:val="msonormal"/>
    <w:basedOn w:val="Normalny"/>
    <w:qFormat/>
    <w:pPr>
      <w:spacing w:before="280" w:after="280"/>
    </w:pPr>
  </w:style>
  <w:style w:type="paragraph" w:customStyle="1" w:styleId="xl68">
    <w:name w:val="xl68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305496"/>
      <w:spacing w:before="280" w:after="280"/>
      <w:jc w:val="center"/>
      <w:textAlignment w:val="center"/>
    </w:pPr>
    <w:rPr>
      <w:rFonts w:ascii="Arial" w:hAnsi="Arial" w:cs="Arial"/>
      <w:b/>
      <w:bCs/>
      <w:color w:val="FFFFFF"/>
      <w:sz w:val="20"/>
      <w:szCs w:val="20"/>
    </w:rPr>
  </w:style>
  <w:style w:type="paragraph" w:customStyle="1" w:styleId="xl69">
    <w:name w:val="xl69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BDD7EE"/>
      <w:spacing w:before="280" w:after="280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70">
    <w:name w:val="xl70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top"/>
    </w:pPr>
    <w:rPr>
      <w:rFonts w:ascii="Arial" w:hAnsi="Arial" w:cs="Arial"/>
      <w:sz w:val="20"/>
      <w:szCs w:val="20"/>
    </w:rPr>
  </w:style>
  <w:style w:type="paragraph" w:customStyle="1" w:styleId="xl71">
    <w:name w:val="xl71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sz w:val="20"/>
      <w:szCs w:val="20"/>
    </w:rPr>
  </w:style>
  <w:style w:type="paragraph" w:customStyle="1" w:styleId="xl72">
    <w:name w:val="xl72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sz w:val="20"/>
      <w:szCs w:val="20"/>
    </w:rPr>
  </w:style>
  <w:style w:type="paragraph" w:customStyle="1" w:styleId="xl73">
    <w:name w:val="xl73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rFonts w:ascii="Arial" w:hAnsi="Arial" w:cs="Arial"/>
      <w:sz w:val="20"/>
      <w:szCs w:val="20"/>
    </w:rPr>
  </w:style>
  <w:style w:type="paragraph" w:customStyle="1" w:styleId="xl74">
    <w:name w:val="xl74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b/>
      <w:bCs/>
      <w:sz w:val="20"/>
      <w:szCs w:val="20"/>
    </w:rPr>
  </w:style>
  <w:style w:type="paragraph" w:customStyle="1" w:styleId="xl75">
    <w:name w:val="xl75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i/>
      <w:iCs/>
      <w:sz w:val="20"/>
      <w:szCs w:val="20"/>
    </w:rPr>
  </w:style>
  <w:style w:type="paragraph" w:customStyle="1" w:styleId="xl76">
    <w:name w:val="xl76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b/>
      <w:bCs/>
      <w:sz w:val="20"/>
      <w:szCs w:val="20"/>
    </w:rPr>
  </w:style>
  <w:style w:type="paragraph" w:customStyle="1" w:styleId="xl77">
    <w:name w:val="xl77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i/>
      <w:iCs/>
      <w:sz w:val="20"/>
      <w:szCs w:val="20"/>
    </w:rPr>
  </w:style>
  <w:style w:type="paragraph" w:customStyle="1" w:styleId="xl78">
    <w:name w:val="xl78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i/>
      <w:iCs/>
      <w:sz w:val="20"/>
      <w:szCs w:val="20"/>
    </w:rPr>
  </w:style>
  <w:style w:type="paragraph" w:customStyle="1" w:styleId="xl79">
    <w:name w:val="xl79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b/>
      <w:bCs/>
      <w:sz w:val="20"/>
      <w:szCs w:val="20"/>
    </w:rPr>
  </w:style>
  <w:style w:type="paragraph" w:customStyle="1" w:styleId="xl80">
    <w:name w:val="xl80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rFonts w:ascii="Arial" w:hAnsi="Arial" w:cs="Arial"/>
      <w:sz w:val="20"/>
      <w:szCs w:val="20"/>
    </w:rPr>
  </w:style>
  <w:style w:type="paragraph" w:customStyle="1" w:styleId="xl81">
    <w:name w:val="xl81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sz w:val="20"/>
      <w:szCs w:val="20"/>
    </w:rPr>
  </w:style>
  <w:style w:type="paragraph" w:customStyle="1" w:styleId="xl82">
    <w:name w:val="xl82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sz w:val="20"/>
      <w:szCs w:val="20"/>
    </w:rPr>
  </w:style>
  <w:style w:type="paragraph" w:customStyle="1" w:styleId="xl83">
    <w:name w:val="xl83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sz w:val="20"/>
      <w:szCs w:val="20"/>
    </w:rPr>
  </w:style>
  <w:style w:type="paragraph" w:customStyle="1" w:styleId="xl84">
    <w:name w:val="xl84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rFonts w:ascii="Arial" w:hAnsi="Arial" w:cs="Arial"/>
      <w:sz w:val="20"/>
      <w:szCs w:val="20"/>
    </w:rPr>
  </w:style>
  <w:style w:type="paragraph" w:customStyle="1" w:styleId="xl85">
    <w:name w:val="xl85"/>
    <w:basedOn w:val="Normalny"/>
    <w:qFormat/>
    <w:pPr>
      <w:spacing w:before="280" w:after="280"/>
    </w:pPr>
  </w:style>
  <w:style w:type="paragraph" w:customStyle="1" w:styleId="xl86">
    <w:name w:val="xl86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rFonts w:ascii="Arial" w:hAnsi="Arial" w:cs="Arial"/>
      <w:sz w:val="20"/>
      <w:szCs w:val="20"/>
    </w:rPr>
  </w:style>
  <w:style w:type="paragraph" w:customStyle="1" w:styleId="xl87">
    <w:name w:val="xl87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</w:style>
  <w:style w:type="paragraph" w:customStyle="1" w:styleId="xl88">
    <w:name w:val="xl88"/>
    <w:basedOn w:val="Normalny"/>
    <w:qFormat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280" w:after="280"/>
      <w:textAlignment w:val="center"/>
    </w:pPr>
    <w:rPr>
      <w:rFonts w:ascii="Tahoma" w:hAnsi="Tahoma" w:cs="Tahoma"/>
      <w:sz w:val="20"/>
      <w:szCs w:val="20"/>
    </w:rPr>
  </w:style>
  <w:style w:type="paragraph" w:customStyle="1" w:styleId="xl89">
    <w:name w:val="xl89"/>
    <w:basedOn w:val="Normalny"/>
    <w:qFormat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="280" w:after="280"/>
      <w:textAlignment w:val="center"/>
    </w:pPr>
    <w:rPr>
      <w:rFonts w:ascii="Tahoma" w:hAnsi="Tahoma" w:cs="Tahoma"/>
      <w:sz w:val="20"/>
      <w:szCs w:val="20"/>
    </w:rPr>
  </w:style>
  <w:style w:type="paragraph" w:customStyle="1" w:styleId="xl90">
    <w:name w:val="xl90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color w:val="000000"/>
      <w:sz w:val="20"/>
      <w:szCs w:val="20"/>
    </w:rPr>
  </w:style>
  <w:style w:type="paragraph" w:customStyle="1" w:styleId="xl91">
    <w:name w:val="xl91"/>
    <w:basedOn w:val="Normalny"/>
    <w:qFormat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color w:val="000000"/>
      <w:sz w:val="20"/>
      <w:szCs w:val="20"/>
    </w:rPr>
  </w:style>
  <w:style w:type="paragraph" w:customStyle="1" w:styleId="xl92">
    <w:name w:val="xl92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</w:style>
  <w:style w:type="paragraph" w:customStyle="1" w:styleId="xl93">
    <w:name w:val="xl93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pacing w:before="280" w:after="280"/>
    </w:pPr>
    <w:rPr>
      <w:rFonts w:ascii="Arial" w:hAnsi="Arial" w:cs="Arial"/>
      <w:sz w:val="20"/>
      <w:szCs w:val="20"/>
    </w:rPr>
  </w:style>
  <w:style w:type="paragraph" w:customStyle="1" w:styleId="xl94">
    <w:name w:val="xl94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pacing w:before="280" w:after="280"/>
    </w:pPr>
  </w:style>
  <w:style w:type="paragraph" w:styleId="Podtytu">
    <w:name w:val="Subtitle"/>
    <w:basedOn w:val="Normalny"/>
    <w:next w:val="Normalny"/>
    <w:link w:val="PodtytuZnak"/>
    <w:qFormat/>
    <w:pPr>
      <w:keepNext/>
      <w:keepLines/>
      <w:spacing w:before="360" w:after="80" w:line="259" w:lineRule="auto"/>
      <w:jc w:val="right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StandardowyArial11">
    <w:name w:val="Standardowy + Arial 11"/>
    <w:basedOn w:val="tekstwstpny"/>
    <w:qFormat/>
    <w:pPr>
      <w:tabs>
        <w:tab w:val="left" w:pos="360"/>
      </w:tabs>
      <w:ind w:left="360" w:hanging="360"/>
      <w:jc w:val="both"/>
    </w:pPr>
    <w:rPr>
      <w:rFonts w:ascii="Arial" w:hAnsi="Arial" w:cs="Arial"/>
      <w:sz w:val="22"/>
      <w:szCs w:val="22"/>
    </w:rPr>
  </w:style>
  <w:style w:type="numbering" w:customStyle="1" w:styleId="Styl1">
    <w:name w:val="Styl1"/>
    <w:qFormat/>
  </w:style>
  <w:style w:type="numbering" w:customStyle="1" w:styleId="Biecalista1">
    <w:name w:val="Bieżąca lista1"/>
    <w:qFormat/>
  </w:style>
  <w:style w:type="character" w:customStyle="1" w:styleId="hgkelc">
    <w:name w:val="hgkelc"/>
    <w:basedOn w:val="Domylnaczcionkaakapitu"/>
    <w:rsid w:val="003356F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1048</Words>
  <Characters>6290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MZ. Zapłotna</dc:creator>
  <dc:description/>
  <cp:lastModifiedBy>Marta MZ. Zapłotna</cp:lastModifiedBy>
  <cp:revision>3</cp:revision>
  <cp:lastPrinted>2024-07-05T12:13:00Z</cp:lastPrinted>
  <dcterms:created xsi:type="dcterms:W3CDTF">2025-11-26T11:19:00Z</dcterms:created>
  <dcterms:modified xsi:type="dcterms:W3CDTF">2025-11-26T12:01:00Z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f6dbec8-95a8-4638-9f5f-bd076536645c_ActionId">
    <vt:lpwstr>58cf59a1-3d40-445e-804f-0ca24a154858</vt:lpwstr>
  </property>
  <property fmtid="{D5CDD505-2E9C-101B-9397-08002B2CF9AE}" pid="3" name="MSIP_Label_ff6dbec8-95a8-4638-9f5f-bd076536645c_ContentBits">
    <vt:lpwstr>0</vt:lpwstr>
  </property>
  <property fmtid="{D5CDD505-2E9C-101B-9397-08002B2CF9AE}" pid="4" name="MSIP_Label_ff6dbec8-95a8-4638-9f5f-bd076536645c_Enabled">
    <vt:lpwstr>true</vt:lpwstr>
  </property>
  <property fmtid="{D5CDD505-2E9C-101B-9397-08002B2CF9AE}" pid="5" name="MSIP_Label_ff6dbec8-95a8-4638-9f5f-bd076536645c_Method">
    <vt:lpwstr>Standard</vt:lpwstr>
  </property>
  <property fmtid="{D5CDD505-2E9C-101B-9397-08002B2CF9AE}" pid="6" name="MSIP_Label_ff6dbec8-95a8-4638-9f5f-bd076536645c_Name">
    <vt:lpwstr>Restricted - Default</vt:lpwstr>
  </property>
  <property fmtid="{D5CDD505-2E9C-101B-9397-08002B2CF9AE}" pid="7" name="MSIP_Label_ff6dbec8-95a8-4638-9f5f-bd076536645c_SetDate">
    <vt:lpwstr>2024-01-03T11:08:12Z</vt:lpwstr>
  </property>
  <property fmtid="{D5CDD505-2E9C-101B-9397-08002B2CF9AE}" pid="8" name="MSIP_Label_ff6dbec8-95a8-4638-9f5f-bd076536645c_SiteId">
    <vt:lpwstr>5dbf1add-202a-4b8d-815b-bf0fb024e033</vt:lpwstr>
  </property>
</Properties>
</file>