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B53C9D">
        <w:rPr>
          <w:rFonts w:cs="Arial"/>
        </w:rPr>
        <w:t>7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</w:t>
      </w:r>
      <w:r w:rsidR="00A11C6C">
        <w:rPr>
          <w:rFonts w:cs="Arial"/>
        </w:rPr>
        <w:t xml:space="preserve">    </w:t>
      </w:r>
      <w:proofErr w:type="gramEnd"/>
      <w:r w:rsidR="00A11C6C">
        <w:rPr>
          <w:rFonts w:cs="Arial"/>
        </w:rPr>
        <w:t xml:space="preserve">                ZOZ/DZP/PN/</w:t>
      </w:r>
      <w:r w:rsidR="006F3E3E">
        <w:rPr>
          <w:rFonts w:cs="Arial"/>
        </w:rPr>
        <w:t>9</w:t>
      </w:r>
      <w:r w:rsidR="00A11C6C">
        <w:rPr>
          <w:rFonts w:cs="Arial"/>
        </w:rPr>
        <w:t>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B53C9D">
        <w:rPr>
          <w:rFonts w:eastAsia="Arial Unicode MS"/>
          <w:b/>
          <w:sz w:val="22"/>
          <w:szCs w:val="22"/>
          <w:u w:val="single"/>
          <w:lang w:eastAsia="ar-SA"/>
        </w:rPr>
        <w:t>7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B53C9D">
        <w:rPr>
          <w:rFonts w:eastAsia="Arial Unicode MS"/>
          <w:b/>
          <w:sz w:val="22"/>
          <w:szCs w:val="22"/>
          <w:u w:val="single"/>
          <w:lang w:eastAsia="ar-SA"/>
        </w:rPr>
        <w:t>Monitor hemodynamiczny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EC156C" w:rsidRPr="00EC156C">
        <w:rPr>
          <w:b/>
          <w:sz w:val="22"/>
          <w:u w:val="single"/>
        </w:rPr>
        <w:t>z modułem PICCO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B53C9D" w:rsidRDefault="00B53C9D" w:rsidP="001B1037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</w:p>
          <w:p w:rsidR="00C414C1" w:rsidRDefault="00B53C9D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Monitor </w:t>
            </w:r>
            <w:r w:rsidRPr="00EC156C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hemodynamiczny</w:t>
            </w:r>
            <w:r w:rsidR="00EC156C" w:rsidRPr="00EC156C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 </w:t>
            </w:r>
            <w:r w:rsidR="00EC156C" w:rsidRPr="00EC156C">
              <w:rPr>
                <w:b/>
                <w:u w:val="single"/>
              </w:rPr>
              <w:t xml:space="preserve">z </w:t>
            </w:r>
            <w:r w:rsidR="00EC156C" w:rsidRPr="00EC156C">
              <w:rPr>
                <w:b/>
                <w:sz w:val="22"/>
                <w:szCs w:val="22"/>
                <w:u w:val="single"/>
              </w:rPr>
              <w:t>modułem PICCO</w:t>
            </w: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 – 1 szt. 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Model aparatu:</w:t>
            </w:r>
          </w:p>
        </w:tc>
      </w:tr>
      <w:tr w:rsidR="00A11C6C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Rok produkcji (urządzenie fabrycznie nowe)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5C329D" w:rsidTr="00687BD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329D" w:rsidRPr="00A7621D" w:rsidRDefault="005C329D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29D" w:rsidRPr="00FF0F90" w:rsidRDefault="005C329D" w:rsidP="005C32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Ocena hemodynamiczna układu krążenia metodą małoinwazyjną </w:t>
            </w:r>
            <w:proofErr w:type="gram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rozumianą jako</w:t>
            </w:r>
            <w:proofErr w:type="gram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5C329D" w:rsidRPr="00FF0F90" w:rsidRDefault="005C329D" w:rsidP="005C32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- bez użycia cewnika Swan-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Ganza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</w:p>
          <w:p w:rsidR="005C329D" w:rsidRPr="00FF0F90" w:rsidRDefault="005C329D" w:rsidP="005C32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- pomiar parametrów hemodynamicznych z jednego dostępu naczyniowego lub drogą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kaniulacji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obwodowego naczynia tętniczego i żyły głównej górnej,</w:t>
            </w:r>
          </w:p>
          <w:p w:rsidR="005C329D" w:rsidRPr="00FF0F90" w:rsidRDefault="005C329D" w:rsidP="005C32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- pomiar u pacjentów zaintubowanych i nie zaintubowanych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329D" w:rsidRPr="00FF0F90" w:rsidRDefault="00960795" w:rsidP="00960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329D" w:rsidRPr="003C1EDB" w:rsidRDefault="005C329D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67682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Analiza kształtu fali ciśnienia tętniczego do ciągłego (w czasie rzeczywistym) oznaczania ciśnienia krwi, trendu rzutu serca, reakcji hemodynamicznych na podanie płynów i innych parametrów pochodnych z wykorzystaniem jednego dostępu naczyniowego.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Mierzone parametry:</w:t>
            </w:r>
          </w:p>
          <w:p w:rsidR="003C1EDB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COCal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/Trend (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CICal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/Trend) – rzutu serca w oparciu o kształt fali pulsu, SV (SVI) - objętość wyrzutowa, SVR (SVRI) - obwodowy opór naczyniowy, SVV - wahania objętości wyrzutowej, PPV - wahania ciśnienia tętniczego,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dPmx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Wskaźnik kurczliwości lewej komory, CPO (CPI) - moc pojemności minutowej, HR - częstość akcji serca, </w:t>
            </w:r>
            <w:proofErr w:type="spellStart"/>
            <w:proofErr w:type="gram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APsys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 skurczowe</w:t>
            </w:r>
            <w:proofErr w:type="gram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ciśnienie tętnicze,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APdia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rozkurczowe ciśnienie tętnicze, MAP - średnie ciśnienie tętnicze, CVP - Ośrodkowe ciśnienie żylne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BB238C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Dla uzyskania maksymalnie dokładnego pomiaru ciągłego rzutu serca urządzenie posiadające dwie opcje kalibracji: 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- automatyczną </w:t>
            </w:r>
            <w:proofErr w:type="gram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rozumianą jako</w:t>
            </w:r>
            <w:proofErr w:type="gram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wygenerowanie szacunkowej wartości kalibracji na podstawie ciśnienia krwi oraz danych pacjenta,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- ręczną </w:t>
            </w:r>
            <w:proofErr w:type="gram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rozumianą jako</w:t>
            </w:r>
            <w:proofErr w:type="gram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wpisanie w polu wprowadzania danych wartości referencyjnej CO, </w:t>
            </w:r>
          </w:p>
          <w:p w:rsidR="003C1EDB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  </w:t>
            </w:r>
            <w:proofErr w:type="gram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otrzymanej</w:t>
            </w:r>
            <w:proofErr w:type="gram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za pomocą innej technologii monitorowania hemodynamicznego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FF0F90" w:rsidRDefault="00FF0F90" w:rsidP="00FF0F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A1113F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EDB" w:rsidRPr="00FF0F90" w:rsidRDefault="00FF0F90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Dla uzyskania maksymalnie dokładnego pomiaru ciągłego rzutu serca urządzenie posiadające opcję wyboru miejsca wkłucia cewnika centralnego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FF0F90" w:rsidRDefault="00FF0F90" w:rsidP="00FF0F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C1EDB" w:rsidTr="006056D3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Moduł ciągłego (w czasie rzeczywistym) pomiaru rzutu serca z analizy kształtu fali ciśnienia tętniczego, kalibrowanego metodą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termodylucji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przezpłucnej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, drogą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kaniulacji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obwodowego naczynia tętniczego i żyły głównej górnej.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Mierzone parametry:</w:t>
            </w:r>
          </w:p>
          <w:p w:rsidR="003C1EDB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COPC (CIPC) - rzut serca w oparciu o kształt fali pulsu, SV (SVI) - objętość wyrzutowa, SVR (SVRI) - obwodowy opór naczyniowy, SVV - wahania objętości wyrzutowej, PPV - wahania ciśnienia tętniczego,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dPmx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Wskaźnik kurczliwości lewej komory,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tdCO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tdCI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) - rzut minutowy z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termodylucji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przezpłucnej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, CFI - wskaźnik funkcji serca, GEDV (GEDI) - całkowita objętość końcowo-rozkurczowa, EVLW (ELWI) - objętość pozanaczyniowej wody płucnej, PVPI - wskaźnik przepuszczalności naczyń płucnych, GEF - całkowita frakcja wyrzutowa, CPO (CPI) - moc użyteczna serca, HR - częstość skurczów serca,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APsys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skurczowe ciśnienie tętnicze,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APdia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rozkurczowe ciśnienie tętnicze, MAP - średnie ciśnienie tętnicze, CVP - ośrodkowe ciśnienie żylne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FF0F90" w:rsidRDefault="00FF0F90" w:rsidP="00FF0F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pStyle w:val="Bezodstpw"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F41D47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Urządzenie umożliwiające rozbudowę o ciągły (w czasie rzeczywistym) pomiar saturacji krwi żylnej z żyły głównej górnej za pomocą refleksyjnego czujnika światłowodowego zakładanego do istniejącego cewnika CVC. 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Mierzone parametry:</w:t>
            </w:r>
          </w:p>
          <w:p w:rsidR="003C1EDB" w:rsidRPr="00FF0F90" w:rsidRDefault="00FF0F90" w:rsidP="00FF0F9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ScvO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₂ - saturacja krwi żylnej z żyły głównej górnej, DO₂ (DO₂I) – dostarczenie tlenu, VO₂ (VO₂I) – konsumpcja tlenu, O₂ER - współczynnik ekstrakcji tlenu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FF0F90" w:rsidRDefault="00FF0F90" w:rsidP="00FF0F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9C2E16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Urządzenie umożliwiające rozbudowę o ciągły (w czasie rzeczywistym) pomiar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pulsoksymetrii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do stałego monitorowania nasycenia hemoglobiny tętniczej tlenem (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SpO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₂), a także o pomiar densytometryczny tętna do określania stężenia zieleni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indocyjaninowej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, wskaźnika stosowanego do oceny ogólnej czynności wątroby i/lub perfuzji otrzewnej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Mierzone parametry:</w:t>
            </w:r>
          </w:p>
          <w:p w:rsidR="003C1EDB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PDR - Wskaźnik eliminacji z osocza, R15 - Wskaźnik utrzymywania ICG po 15 minutach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FF0F90" w:rsidRDefault="00FF0F90" w:rsidP="00FF0F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C1EDB" w:rsidTr="005C329D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Dane pomiarowe wyświetlane na min. 6” ekranie o rozdzielczości min, 800x480 pikseli</w:t>
            </w:r>
          </w:p>
          <w:p w:rsidR="005C329D" w:rsidRDefault="005C329D" w:rsidP="005C329D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5C329D" w:rsidRDefault="005C329D" w:rsidP="005C329D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6” – 0 pkt</w:t>
            </w:r>
          </w:p>
          <w:p w:rsidR="00FF0F90" w:rsidRPr="00FF0F90" w:rsidRDefault="00960795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6,1 – </w:t>
            </w:r>
            <w:r w:rsidR="00FF0F90" w:rsidRPr="00FF0F9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,9</w:t>
            </w:r>
            <w:r w:rsidR="00FF0F90" w:rsidRPr="00FF0F90">
              <w:rPr>
                <w:rFonts w:asciiTheme="minorHAnsi" w:hAnsiTheme="minorHAnsi" w:cstheme="minorHAnsi"/>
                <w:sz w:val="22"/>
                <w:szCs w:val="22"/>
              </w:rPr>
              <w:t>” – 10 pkt</w:t>
            </w:r>
          </w:p>
          <w:p w:rsidR="003C1EDB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8” i więcej – 20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1EDB" w:rsidRPr="00FF0F90" w:rsidRDefault="00FF0F90" w:rsidP="00FF0F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C1EDB" w:rsidTr="001D4BEA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EDB" w:rsidRPr="00FF0F90" w:rsidRDefault="00FF0F90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Wyświetlanie rzeczywistej krzywej ciśnienia tętniczego (AP)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C1EDB" w:rsidTr="00CD776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C1EDB" w:rsidRPr="00FF0F90" w:rsidRDefault="00FF0F90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Obsługa monitora poprzez ekran dotykowy i </w:t>
            </w:r>
            <w:proofErr w:type="gram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klawisze</w:t>
            </w:r>
            <w:proofErr w:type="gram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funkcyjne. Oprogramowanie w języku polskim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3C9D" w:rsidTr="00CD776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A7621D" w:rsidRDefault="00B53C9D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3C9D" w:rsidRPr="00FF0F90" w:rsidRDefault="00FF0F90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Wybór sposobu prezentacji danych pomiarowych – min. 2 tryby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3C1EDB" w:rsidRDefault="00B53C9D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3C9D" w:rsidTr="00101EA7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A7621D" w:rsidRDefault="00B53C9D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3C9D" w:rsidRPr="00FF0F90" w:rsidRDefault="00FF0F90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Prezentacja danych w postaci trendów graficznych. Możliwość wyświetlania dwóch krzywych trendu w jednym oknie. Zakres czasowy trendu 15 min/30 min/1 godz./3 godz./6 godz./12 godz./24 godz./2 dni/3 dni/6dni/12 dni.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3C1EDB" w:rsidRDefault="00B53C9D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B53C9D" w:rsidTr="00101EA7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A7621D" w:rsidRDefault="00B53C9D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Drukowania danych poprzez: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- wirtualne drukowanie z portu USB do pliku PDF lub Excel (do dalszej obróbki)</w:t>
            </w:r>
          </w:p>
          <w:p w:rsidR="00B53C9D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- drukowanie poprzez sieć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3C1EDB" w:rsidRDefault="00B53C9D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3C1EDB" w:rsidTr="00101EA7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C1EDB" w:rsidRPr="00FF0F90" w:rsidRDefault="00FF0F90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Możliwość ustawienia wartości normalnych i docelowych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B53C9D" w:rsidTr="0021434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A7621D" w:rsidRDefault="00B53C9D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3C9D" w:rsidRPr="00FF0F90" w:rsidRDefault="00FF0F90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Możliwości transmisji danych z wykorzystaniem LAN do podłączania drukarek sieciowych lub systemów PDMS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53C9D" w:rsidRPr="003C1EDB" w:rsidRDefault="00B53C9D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3C1EDB" w:rsidTr="0021434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C1EDB" w:rsidRPr="00FF0F90" w:rsidRDefault="00FF0F90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Okablowanie umożliwiające podłączenie i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przesył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danych dot. wartości ciśnienia krwawego do monitora przyłóżkowego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FF0F90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3C1ED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Moduł ciągłego (w czasie rzeczywistym) pomiaru rzutu serca z analizy kształtu fali ciśnienia tętniczego, kalibrowanego metodą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termodylucji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przezpłucnej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, drogą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kaniulacji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obwodowego naczynia tętniczego i żyły głównej górnej.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Mierzone parametry:</w:t>
            </w:r>
          </w:p>
          <w:p w:rsidR="003C1EDB" w:rsidRPr="00FF0F90" w:rsidRDefault="00FF0F90" w:rsidP="00FF0F90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COPC (CIPC) - rzut serca w oparciu o kształt fali pulsu, SV (SVI) - objętość wyrzutowa, SVR (SVRI) - obwodowy opór naczyniowy, SVV - wahania objętości wyrzutowej, PPV - wahania ciśnienia tętniczego,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dPmx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Wskaźnik kurczliwości lewej komory,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tdCO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tdCI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) - rzut minutowy z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termodylucji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przezpłucnej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, CFI - wskaźnik funkcji serca, GEDV (GEDI) - całkowita objętość końcowo-rozkurczowa, EVLW (ELWI) - objętość pozanaczyniowej wody płucnej, PVPI - wskaźnik przepuszczalności naczyń płucnych, GEF - całkowita frakcja wyrzutowa, CPO (CPI) - moc użyteczna serca, HR - częstość skurczów serca,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APsys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skurczowe ciśnienie tętnicze,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APdia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- rozkurczowe ciśnienie tętnicze, MAP - średnie ciśnienie tętnicze, CVP - ośrodkowe ciśnienie żylne.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FF0F90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3C9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C9D" w:rsidRPr="00A7621D" w:rsidRDefault="00B53C9D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C9D" w:rsidRPr="00FF0F90" w:rsidRDefault="00FF0F90" w:rsidP="003C1ED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W komplecie 5 startowych zestawów do pomiaru rzutu serca składających się z: zestaw do pomiaru krwawego ciśnienia z podwójną linią + cewnik tętniczy (standardowy do tętnicy udowej, średnica 5 Fr, długość użyteczna 20 cm)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C9D" w:rsidRPr="00FF0F90" w:rsidRDefault="00FF0F90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C9D" w:rsidRPr="003C1EDB" w:rsidRDefault="00B53C9D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3C9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C9D" w:rsidRPr="00B53C9D" w:rsidRDefault="00B53C9D" w:rsidP="00B53C9D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C9D" w:rsidRPr="003C1EDB" w:rsidRDefault="00B53C9D" w:rsidP="00B53C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53C9D">
              <w:rPr>
                <w:rFonts w:asciiTheme="minorHAnsi" w:eastAsia="Lucida Sans Unicode" w:hAnsiTheme="minorHAnsi" w:cstheme="minorHAnsi"/>
                <w:b/>
                <w:sz w:val="22"/>
                <w:szCs w:val="22"/>
              </w:rPr>
              <w:t>INNE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C9D" w:rsidRPr="003C1EDB" w:rsidRDefault="00B53C9D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C9D" w:rsidRPr="003C1EDB" w:rsidRDefault="00B53C9D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B53C9D" w:rsidTr="00B22A1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C9D" w:rsidRPr="00A7621D" w:rsidRDefault="00B53C9D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W przypadku produktów związanych z energią, dla których w formie aktów delegowanych Komisji Europejskiej przyjęta została etykieta energetyczna, wykonawca </w:t>
            </w:r>
            <w:r w:rsidRPr="00FF0F9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zobowiązany jest do przedłożenia odpowiedniej etykiety energetycznej potwierdzającej osiąganie najwyższych poziomów efektywności energetycznej.</w:t>
            </w:r>
          </w:p>
          <w:p w:rsidR="00FF0F90" w:rsidRPr="00FF0F90" w:rsidRDefault="00FF0F90" w:rsidP="00FF0F9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FF0F90" w:rsidRPr="00FF0F90" w:rsidRDefault="00FF0F90" w:rsidP="00FF0F90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W pozostałych przypadkach, na potwierdzenie spełniania 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B53C9D" w:rsidRPr="00FF0F90" w:rsidRDefault="00FF0F90" w:rsidP="00FF0F90">
            <w:pPr>
              <w:rPr>
                <w:rFonts w:asciiTheme="minorHAnsi" w:eastAsia="Lucida Sans Unicode" w:hAnsiTheme="minorHAnsi" w:cstheme="minorHAnsi"/>
                <w:b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Powyższe dokumenty należy przedłożyć przy odbiorze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C9D" w:rsidRPr="003C1EDB" w:rsidRDefault="00B53C9D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C9D" w:rsidRPr="003C1EDB" w:rsidRDefault="00B53C9D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B22A1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EDB" w:rsidRPr="00FF0F90" w:rsidRDefault="00FF0F90" w:rsidP="00FF0F90">
            <w:pPr>
              <w:rPr>
                <w:rFonts w:asciiTheme="minorHAnsi" w:eastAsia="Lucida Sans Unicode" w:hAnsiTheme="minorHAnsi" w:cstheme="minorHAnsi"/>
                <w:b/>
                <w:sz w:val="22"/>
                <w:szCs w:val="22"/>
                <w:highlight w:val="yellow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, itp.)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CA069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3C9D" w:rsidRPr="00FF0F90" w:rsidRDefault="003410B1" w:rsidP="00B53C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</w:t>
            </w:r>
            <w:proofErr w:type="gramStart"/>
            <w:r w:rsidRPr="00B12BF3">
              <w:rPr>
                <w:rFonts w:ascii="Calibri" w:hAnsi="Calibri" w:cs="Calibri"/>
                <w:sz w:val="22"/>
                <w:szCs w:val="22"/>
              </w:rPr>
              <w:t>producenta – jeżeli</w:t>
            </w:r>
            <w:proofErr w:type="gramEnd"/>
            <w:r w:rsidRPr="00B12BF3">
              <w:rPr>
                <w:rFonts w:ascii="Calibri" w:hAnsi="Calibri" w:cs="Calibri"/>
                <w:sz w:val="22"/>
                <w:szCs w:val="22"/>
              </w:rPr>
              <w:t xml:space="preserve"> dotyczy)</w:t>
            </w:r>
          </w:p>
          <w:p w:rsidR="005C329D" w:rsidRDefault="005C329D" w:rsidP="005C329D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B53C9D" w:rsidRPr="00FF0F90" w:rsidRDefault="00B53C9D" w:rsidP="005C32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24 m-ce – 0 pkt</w:t>
            </w:r>
          </w:p>
          <w:p w:rsidR="00C414C1" w:rsidRPr="00CA0691" w:rsidRDefault="00B53C9D" w:rsidP="00B53C9D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FF0F90">
              <w:rPr>
                <w:rFonts w:asciiTheme="minorHAnsi" w:hAnsiTheme="minorHAnsi" w:cstheme="minorHAnsi"/>
                <w:sz w:val="22"/>
                <w:szCs w:val="22"/>
              </w:rPr>
              <w:t xml:space="preserve"> i więcej – 20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CA0691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0691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3C1EDB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lastRenderedPageBreak/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3410B1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bookmarkStart w:id="0" w:name="_GoBack"/>
            <w:bookmarkEnd w:id="0"/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default" r:id="rId7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86B" w:rsidRDefault="0051086B" w:rsidP="0051086B">
      <w:r>
        <w:separator/>
      </w:r>
    </w:p>
  </w:endnote>
  <w:endnote w:type="continuationSeparator" w:id="0">
    <w:p w:rsidR="0051086B" w:rsidRDefault="0051086B" w:rsidP="00510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86B" w:rsidRDefault="0051086B" w:rsidP="0051086B">
      <w:r>
        <w:separator/>
      </w:r>
    </w:p>
  </w:footnote>
  <w:footnote w:type="continuationSeparator" w:id="0">
    <w:p w:rsidR="0051086B" w:rsidRDefault="0051086B" w:rsidP="005108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86B" w:rsidRDefault="0051086B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1893187"/>
    <w:multiLevelType w:val="hybridMultilevel"/>
    <w:tmpl w:val="A4C6D008"/>
    <w:lvl w:ilvl="0" w:tplc="713A6160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14"/>
  </w:num>
  <w:num w:numId="6">
    <w:abstractNumId w:val="7"/>
  </w:num>
  <w:num w:numId="7">
    <w:abstractNumId w:val="15"/>
  </w:num>
  <w:num w:numId="8">
    <w:abstractNumId w:val="3"/>
  </w:num>
  <w:num w:numId="9">
    <w:abstractNumId w:val="2"/>
  </w:num>
  <w:num w:numId="10">
    <w:abstractNumId w:val="12"/>
  </w:num>
  <w:num w:numId="11">
    <w:abstractNumId w:val="13"/>
  </w:num>
  <w:num w:numId="12">
    <w:abstractNumId w:val="0"/>
  </w:num>
  <w:num w:numId="13">
    <w:abstractNumId w:val="10"/>
  </w:num>
  <w:num w:numId="14">
    <w:abstractNumId w:val="9"/>
  </w:num>
  <w:num w:numId="15">
    <w:abstractNumId w:val="11"/>
  </w:num>
  <w:num w:numId="16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95574"/>
    <w:rsid w:val="002C02B1"/>
    <w:rsid w:val="002C1484"/>
    <w:rsid w:val="002C6C47"/>
    <w:rsid w:val="00315C3C"/>
    <w:rsid w:val="003410B1"/>
    <w:rsid w:val="00376BF3"/>
    <w:rsid w:val="00391508"/>
    <w:rsid w:val="003A5470"/>
    <w:rsid w:val="003A55D6"/>
    <w:rsid w:val="003B0245"/>
    <w:rsid w:val="003C1EDB"/>
    <w:rsid w:val="003E08EC"/>
    <w:rsid w:val="003F3501"/>
    <w:rsid w:val="004736F8"/>
    <w:rsid w:val="00482B14"/>
    <w:rsid w:val="004D6ADA"/>
    <w:rsid w:val="004E1841"/>
    <w:rsid w:val="0051086B"/>
    <w:rsid w:val="0052157F"/>
    <w:rsid w:val="0053095A"/>
    <w:rsid w:val="00537D57"/>
    <w:rsid w:val="0055049F"/>
    <w:rsid w:val="00554556"/>
    <w:rsid w:val="005850CE"/>
    <w:rsid w:val="005B2CF0"/>
    <w:rsid w:val="005C329D"/>
    <w:rsid w:val="005F2AF6"/>
    <w:rsid w:val="005F5AFE"/>
    <w:rsid w:val="00627A55"/>
    <w:rsid w:val="006345F5"/>
    <w:rsid w:val="00660105"/>
    <w:rsid w:val="006633AE"/>
    <w:rsid w:val="00675E17"/>
    <w:rsid w:val="006A3532"/>
    <w:rsid w:val="006C5786"/>
    <w:rsid w:val="006D4D16"/>
    <w:rsid w:val="006F3E3E"/>
    <w:rsid w:val="007001D2"/>
    <w:rsid w:val="0071164C"/>
    <w:rsid w:val="00723921"/>
    <w:rsid w:val="00745A8D"/>
    <w:rsid w:val="007640C5"/>
    <w:rsid w:val="008007EB"/>
    <w:rsid w:val="00822078"/>
    <w:rsid w:val="008630B9"/>
    <w:rsid w:val="0087274F"/>
    <w:rsid w:val="008818CF"/>
    <w:rsid w:val="00881ECE"/>
    <w:rsid w:val="00886898"/>
    <w:rsid w:val="00895490"/>
    <w:rsid w:val="008B5721"/>
    <w:rsid w:val="008E086D"/>
    <w:rsid w:val="008E13EE"/>
    <w:rsid w:val="008E3A72"/>
    <w:rsid w:val="00906F3F"/>
    <w:rsid w:val="00912D4E"/>
    <w:rsid w:val="00922D8D"/>
    <w:rsid w:val="00940265"/>
    <w:rsid w:val="009415DF"/>
    <w:rsid w:val="00960795"/>
    <w:rsid w:val="009853DD"/>
    <w:rsid w:val="009B201E"/>
    <w:rsid w:val="009C7229"/>
    <w:rsid w:val="00A035C8"/>
    <w:rsid w:val="00A11C6C"/>
    <w:rsid w:val="00A24650"/>
    <w:rsid w:val="00A531AE"/>
    <w:rsid w:val="00A7621D"/>
    <w:rsid w:val="00AC1E28"/>
    <w:rsid w:val="00AC3234"/>
    <w:rsid w:val="00AF6EC7"/>
    <w:rsid w:val="00B017F6"/>
    <w:rsid w:val="00B3158A"/>
    <w:rsid w:val="00B42E26"/>
    <w:rsid w:val="00B4654F"/>
    <w:rsid w:val="00B53C9D"/>
    <w:rsid w:val="00B63872"/>
    <w:rsid w:val="00B740D9"/>
    <w:rsid w:val="00B77AEE"/>
    <w:rsid w:val="00B92C1C"/>
    <w:rsid w:val="00BC2739"/>
    <w:rsid w:val="00BD3F01"/>
    <w:rsid w:val="00BE20A0"/>
    <w:rsid w:val="00BE5556"/>
    <w:rsid w:val="00C40B27"/>
    <w:rsid w:val="00C414C1"/>
    <w:rsid w:val="00CA0691"/>
    <w:rsid w:val="00CC2D45"/>
    <w:rsid w:val="00D20DD7"/>
    <w:rsid w:val="00D5461D"/>
    <w:rsid w:val="00D61CEF"/>
    <w:rsid w:val="00D86841"/>
    <w:rsid w:val="00D949B0"/>
    <w:rsid w:val="00DC17E2"/>
    <w:rsid w:val="00E551FF"/>
    <w:rsid w:val="00E64BE1"/>
    <w:rsid w:val="00E928A3"/>
    <w:rsid w:val="00EC156C"/>
    <w:rsid w:val="00EE3C54"/>
    <w:rsid w:val="00EF0813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0F90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7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1514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15</cp:revision>
  <cp:lastPrinted>2024-07-05T12:13:00Z</cp:lastPrinted>
  <dcterms:created xsi:type="dcterms:W3CDTF">2026-03-10T10:55:00Z</dcterms:created>
  <dcterms:modified xsi:type="dcterms:W3CDTF">2026-03-27T08:44:00Z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