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414C1" w:rsidRDefault="00554556">
      <w:pPr>
        <w:pStyle w:val="Nagwek2"/>
        <w:jc w:val="both"/>
        <w:rPr>
          <w:rFonts w:cs="Arial"/>
        </w:rPr>
      </w:pPr>
      <w:r>
        <w:rPr>
          <w:rFonts w:cs="Arial"/>
        </w:rPr>
        <w:t>Załącznik nr 2</w:t>
      </w:r>
      <w:r w:rsidR="00F95EA7">
        <w:rPr>
          <w:rFonts w:cs="Arial"/>
        </w:rPr>
        <w:t>-</w:t>
      </w:r>
      <w:r w:rsidR="00F41844">
        <w:rPr>
          <w:rFonts w:cs="Arial"/>
        </w:rPr>
        <w:t>8</w:t>
      </w:r>
      <w:r>
        <w:rPr>
          <w:rFonts w:cs="Arial"/>
        </w:rPr>
        <w:t xml:space="preserve"> do </w:t>
      </w:r>
      <w:proofErr w:type="gramStart"/>
      <w:r>
        <w:rPr>
          <w:rFonts w:cs="Arial"/>
        </w:rPr>
        <w:t xml:space="preserve">SWZ                                              </w:t>
      </w:r>
      <w:r w:rsidR="00A11C6C">
        <w:rPr>
          <w:rFonts w:cs="Arial"/>
        </w:rPr>
        <w:t xml:space="preserve">    </w:t>
      </w:r>
      <w:proofErr w:type="gramEnd"/>
      <w:r w:rsidR="00A11C6C">
        <w:rPr>
          <w:rFonts w:cs="Arial"/>
        </w:rPr>
        <w:t xml:space="preserve">                ZOZ/DZP/PN/</w:t>
      </w:r>
      <w:r w:rsidR="00E816FE">
        <w:rPr>
          <w:rFonts w:cs="Arial"/>
        </w:rPr>
        <w:t>9</w:t>
      </w:r>
      <w:r w:rsidR="00A11C6C">
        <w:rPr>
          <w:rFonts w:cs="Arial"/>
        </w:rPr>
        <w:t>/26</w:t>
      </w:r>
    </w:p>
    <w:p w:rsidR="00C414C1" w:rsidRDefault="00C414C1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</w:p>
    <w:p w:rsidR="00C414C1" w:rsidRDefault="00554556">
      <w:pPr>
        <w:pStyle w:val="Nagwek2"/>
        <w:rPr>
          <w:rFonts w:cs="Arial"/>
          <w:color w:val="auto"/>
        </w:rPr>
      </w:pPr>
      <w:r>
        <w:rPr>
          <w:rFonts w:cs="Arial"/>
          <w:color w:val="auto"/>
        </w:rPr>
        <w:t>ZESTAWIENIE WYMAGANYCH PARAMETRÓW TECHNICZNO – UŻYTKOWYCH</w:t>
      </w:r>
    </w:p>
    <w:p w:rsidR="00C414C1" w:rsidRDefault="00554556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OPIS PRZEDMIOTU ZAMÓWIENIA</w:t>
      </w:r>
    </w:p>
    <w:p w:rsidR="00B92C1C" w:rsidRDefault="00B92C1C" w:rsidP="00B92C1C">
      <w:pPr>
        <w:widowControl w:val="0"/>
        <w:jc w:val="center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Zadanie nr </w:t>
      </w:r>
      <w:r w:rsidR="00F41844">
        <w:rPr>
          <w:rFonts w:eastAsia="Arial Unicode MS"/>
          <w:b/>
          <w:sz w:val="22"/>
          <w:szCs w:val="22"/>
          <w:u w:val="single"/>
          <w:lang w:eastAsia="ar-SA"/>
        </w:rPr>
        <w:t>8</w:t>
      </w:r>
      <w:r w:rsidR="00F95EA7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2C6C47">
        <w:rPr>
          <w:rFonts w:eastAsia="Arial Unicode MS"/>
          <w:b/>
          <w:sz w:val="22"/>
          <w:szCs w:val="22"/>
          <w:u w:val="single"/>
          <w:lang w:eastAsia="ar-SA"/>
        </w:rPr>
        <w:t>–</w:t>
      </w:r>
      <w:r w:rsidR="00F95EA7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 w:rsidR="00F41844">
        <w:rPr>
          <w:rFonts w:eastAsia="Arial Unicode MS"/>
          <w:b/>
          <w:sz w:val="22"/>
          <w:szCs w:val="22"/>
          <w:u w:val="single"/>
          <w:lang w:eastAsia="ar-SA"/>
        </w:rPr>
        <w:t xml:space="preserve">Pompy infuzyjne, objętościowe, stacje dokujące </w:t>
      </w:r>
      <w:r w:rsidR="00881ECE"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  <w:r>
        <w:rPr>
          <w:rFonts w:eastAsia="Arial Unicode MS"/>
          <w:b/>
          <w:sz w:val="22"/>
          <w:szCs w:val="22"/>
          <w:u w:val="single"/>
          <w:lang w:eastAsia="ar-SA"/>
        </w:rPr>
        <w:t xml:space="preserve"> </w:t>
      </w:r>
    </w:p>
    <w:p w:rsidR="00B92C1C" w:rsidRDefault="00B92C1C" w:rsidP="00B92C1C">
      <w:pPr>
        <w:widowControl w:val="0"/>
        <w:rPr>
          <w:rFonts w:eastAsia="Arial Unicode MS"/>
          <w:b/>
          <w:sz w:val="22"/>
          <w:szCs w:val="22"/>
          <w:u w:val="single"/>
          <w:lang w:eastAsia="ar-SA"/>
        </w:rPr>
      </w:pPr>
    </w:p>
    <w:p w:rsidR="00C414C1" w:rsidRDefault="00C414C1">
      <w:pPr>
        <w:tabs>
          <w:tab w:val="left" w:pos="4080"/>
        </w:tabs>
        <w:jc w:val="center"/>
        <w:rPr>
          <w:rStyle w:val="Domylnaczcionkaakapitu1"/>
          <w:b/>
        </w:rPr>
      </w:pPr>
    </w:p>
    <w:tbl>
      <w:tblPr>
        <w:tblW w:w="11058" w:type="dxa"/>
        <w:tblInd w:w="-998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058"/>
      </w:tblGrid>
      <w:tr w:rsidR="00C414C1">
        <w:trPr>
          <w:trHeight w:val="1045"/>
        </w:trPr>
        <w:tc>
          <w:tcPr>
            <w:tcW w:w="110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8EAADB"/>
          </w:tcPr>
          <w:p w:rsidR="00C414C1" w:rsidRDefault="00C414C1">
            <w:pPr>
              <w:widowControl w:val="0"/>
              <w:tabs>
                <w:tab w:val="left" w:pos="4080"/>
              </w:tabs>
              <w:jc w:val="center"/>
              <w:rPr>
                <w:rStyle w:val="Domylnaczcionkaakapitu1"/>
              </w:rPr>
            </w:pPr>
          </w:p>
          <w:p w:rsidR="00F41844" w:rsidRDefault="00F41844" w:rsidP="00F41844">
            <w:pPr>
              <w:widowControl w:val="0"/>
              <w:jc w:val="center"/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</w:pPr>
            <w:r>
              <w:rPr>
                <w:rFonts w:eastAsia="Arial Unicode MS"/>
                <w:b/>
                <w:sz w:val="22"/>
                <w:szCs w:val="22"/>
                <w:u w:val="single"/>
                <w:lang w:eastAsia="ar-SA"/>
              </w:rPr>
              <w:t>Pompy infuzyjne (24), objętościowe (6), stacje dokujące (4)</w:t>
            </w:r>
          </w:p>
          <w:p w:rsidR="00C414C1" w:rsidRDefault="00C414C1" w:rsidP="00F41844">
            <w:pPr>
              <w:widowControl w:val="0"/>
              <w:jc w:val="center"/>
              <w:rPr>
                <w:rStyle w:val="Domylnaczcionkaakapitu1"/>
                <w:b/>
              </w:rPr>
            </w:pPr>
          </w:p>
        </w:tc>
      </w:tr>
    </w:tbl>
    <w:p w:rsidR="00C414C1" w:rsidRDefault="00C414C1">
      <w:pPr>
        <w:rPr>
          <w:b/>
          <w:sz w:val="18"/>
          <w:szCs w:val="18"/>
        </w:rPr>
      </w:pPr>
    </w:p>
    <w:tbl>
      <w:tblPr>
        <w:tblW w:w="10632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5557"/>
        <w:gridCol w:w="1388"/>
        <w:gridCol w:w="3119"/>
      </w:tblGrid>
      <w:tr w:rsidR="00F92E92" w:rsidRPr="00F92E92" w:rsidTr="00F92E92">
        <w:trPr>
          <w:trHeight w:val="442"/>
          <w:jc w:val="center"/>
        </w:trPr>
        <w:tc>
          <w:tcPr>
            <w:tcW w:w="106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2E92" w:rsidRPr="00F92E92" w:rsidRDefault="00F92E92" w:rsidP="00F92E92">
            <w:pPr>
              <w:widowControl w:val="0"/>
              <w:rPr>
                <w:rFonts w:ascii="Arial" w:hAnsi="Arial" w:cs="Arial"/>
                <w:sz w:val="20"/>
                <w:szCs w:val="20"/>
              </w:rPr>
            </w:pPr>
            <w:r w:rsidRPr="00F92E92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F92E92" w:rsidRPr="00F92E92" w:rsidTr="00F92E92">
        <w:trPr>
          <w:trHeight w:val="421"/>
          <w:jc w:val="center"/>
        </w:trPr>
        <w:tc>
          <w:tcPr>
            <w:tcW w:w="106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2E92" w:rsidRPr="00F92E92" w:rsidRDefault="00F92E92" w:rsidP="00F92E92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r w:rsidRPr="00F92E92">
              <w:rPr>
                <w:rFonts w:ascii="Arial" w:hAnsi="Arial" w:cs="Arial"/>
                <w:sz w:val="20"/>
                <w:szCs w:val="20"/>
                <w:lang w:val="en-US"/>
              </w:rPr>
              <w:t xml:space="preserve">Model </w:t>
            </w:r>
            <w:proofErr w:type="spellStart"/>
            <w:r w:rsidRPr="00F92E92">
              <w:rPr>
                <w:rFonts w:ascii="Arial" w:hAnsi="Arial" w:cs="Arial"/>
                <w:sz w:val="20"/>
                <w:szCs w:val="20"/>
                <w:lang w:val="en-US"/>
              </w:rPr>
              <w:t>aparatu</w:t>
            </w:r>
            <w:proofErr w:type="spellEnd"/>
            <w:r w:rsidRPr="00F92E92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F92E92" w:rsidRPr="00F92E92" w:rsidTr="00F92E92">
        <w:trPr>
          <w:trHeight w:val="421"/>
          <w:jc w:val="center"/>
        </w:trPr>
        <w:tc>
          <w:tcPr>
            <w:tcW w:w="1062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92E92" w:rsidRPr="00F92E92" w:rsidRDefault="00F92E92" w:rsidP="00F92E92">
            <w:pPr>
              <w:widowControl w:val="0"/>
              <w:rPr>
                <w:rFonts w:ascii="Arial" w:hAnsi="Arial" w:cs="Arial"/>
                <w:sz w:val="20"/>
                <w:szCs w:val="20"/>
                <w:lang w:val="en-US"/>
              </w:rPr>
            </w:pPr>
            <w:proofErr w:type="spellStart"/>
            <w:r w:rsidRPr="00F92E92">
              <w:rPr>
                <w:rFonts w:ascii="Arial" w:hAnsi="Arial" w:cs="Arial"/>
                <w:sz w:val="20"/>
                <w:szCs w:val="20"/>
                <w:lang w:val="en-US"/>
              </w:rPr>
              <w:t>Rok</w:t>
            </w:r>
            <w:proofErr w:type="spellEnd"/>
            <w:r w:rsidRPr="00F92E92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2E92">
              <w:rPr>
                <w:rFonts w:ascii="Arial" w:hAnsi="Arial" w:cs="Arial"/>
                <w:sz w:val="20"/>
                <w:szCs w:val="20"/>
                <w:lang w:val="en-US"/>
              </w:rPr>
              <w:t>produkcji</w:t>
            </w:r>
            <w:proofErr w:type="spellEnd"/>
            <w:r w:rsidRPr="00F92E92">
              <w:rPr>
                <w:rFonts w:ascii="Arial" w:hAnsi="Arial" w:cs="Arial"/>
                <w:sz w:val="20"/>
                <w:szCs w:val="20"/>
                <w:lang w:val="en-US"/>
              </w:rPr>
              <w:t xml:space="preserve"> (</w:t>
            </w:r>
            <w:proofErr w:type="spellStart"/>
            <w:r w:rsidRPr="00F92E92">
              <w:rPr>
                <w:rFonts w:ascii="Arial" w:hAnsi="Arial" w:cs="Arial"/>
                <w:sz w:val="20"/>
                <w:szCs w:val="20"/>
                <w:lang w:val="en-US"/>
              </w:rPr>
              <w:t>urządzenie</w:t>
            </w:r>
            <w:proofErr w:type="spellEnd"/>
            <w:r w:rsidRPr="00F92E92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2E92">
              <w:rPr>
                <w:rFonts w:ascii="Arial" w:hAnsi="Arial" w:cs="Arial"/>
                <w:sz w:val="20"/>
                <w:szCs w:val="20"/>
                <w:lang w:val="en-US"/>
              </w:rPr>
              <w:t>fabrycznie</w:t>
            </w:r>
            <w:proofErr w:type="spellEnd"/>
            <w:r w:rsidRPr="00F92E92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F92E92">
              <w:rPr>
                <w:rFonts w:ascii="Arial" w:hAnsi="Arial" w:cs="Arial"/>
                <w:sz w:val="20"/>
                <w:szCs w:val="20"/>
                <w:lang w:val="en-US"/>
              </w:rPr>
              <w:t>nowe</w:t>
            </w:r>
            <w:proofErr w:type="spellEnd"/>
            <w:r w:rsidRPr="00F92E92">
              <w:rPr>
                <w:rFonts w:ascii="Arial" w:hAnsi="Arial" w:cs="Arial"/>
                <w:sz w:val="20"/>
                <w:szCs w:val="20"/>
                <w:lang w:val="en-US"/>
              </w:rPr>
              <w:t>)</w:t>
            </w:r>
          </w:p>
        </w:tc>
      </w:tr>
      <w:tr w:rsidR="005256AF" w:rsidTr="00F92E92">
        <w:trPr>
          <w:trHeight w:val="853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F92E92" w:rsidRDefault="00F92E92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005256AF" w:rsidRPr="0087274F" w:rsidRDefault="005256AF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 w:val="22"/>
                <w:szCs w:val="22"/>
              </w:rPr>
              <w:t>Lp.</w:t>
            </w:r>
          </w:p>
          <w:p w:rsidR="005256AF" w:rsidRPr="0087274F" w:rsidRDefault="005256AF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5256AF" w:rsidRPr="0087274F" w:rsidRDefault="005256AF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:rsidR="005256AF" w:rsidRPr="0087274F" w:rsidRDefault="005256A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Warunki wymagane </w:t>
            </w: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5256AF" w:rsidRPr="0087274F" w:rsidRDefault="005256AF">
            <w:pPr>
              <w:pStyle w:val="Zawartotabeli"/>
              <w:jc w:val="center"/>
              <w:rPr>
                <w:rFonts w:ascii="Calibri" w:hAnsi="Calibri" w:cs="Calibri"/>
                <w:b/>
                <w:bCs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Cs w:val="22"/>
              </w:rPr>
              <w:t>Wartość wymagana</w:t>
            </w:r>
          </w:p>
          <w:p w:rsidR="005256AF" w:rsidRPr="0087274F" w:rsidRDefault="005256AF">
            <w:pPr>
              <w:widowControl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</w:tcPr>
          <w:p w:rsidR="005256AF" w:rsidRPr="0087274F" w:rsidRDefault="005256AF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Wartość oferowana. Potwierdzenie parametru, numery katalogowe</w:t>
            </w:r>
          </w:p>
        </w:tc>
      </w:tr>
      <w:tr w:rsidR="005256AF" w:rsidTr="00F92E92">
        <w:trPr>
          <w:trHeight w:val="339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5256AF" w:rsidRPr="0087274F" w:rsidRDefault="005256AF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1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5256AF" w:rsidRPr="0087274F" w:rsidRDefault="005256AF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2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5256AF" w:rsidRPr="0087274F" w:rsidRDefault="005256AF">
            <w:pPr>
              <w:pStyle w:val="Zawartotabeli"/>
              <w:jc w:val="center"/>
              <w:rPr>
                <w:rFonts w:ascii="Calibri" w:hAnsi="Calibri" w:cs="Calibri"/>
                <w:b/>
                <w:szCs w:val="22"/>
              </w:rPr>
            </w:pPr>
            <w:r w:rsidRPr="0087274F">
              <w:rPr>
                <w:rFonts w:ascii="Calibri" w:hAnsi="Calibri" w:cs="Calibri"/>
                <w:b/>
                <w:szCs w:val="22"/>
              </w:rPr>
              <w:t>3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</w:tcPr>
          <w:p w:rsidR="005256AF" w:rsidRPr="0087274F" w:rsidRDefault="005256AF">
            <w:pPr>
              <w:widowControl w:val="0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87274F">
              <w:rPr>
                <w:rFonts w:ascii="Calibri" w:hAnsi="Calibri" w:cs="Calibri"/>
                <w:b/>
                <w:sz w:val="22"/>
                <w:szCs w:val="22"/>
              </w:rPr>
              <w:t>4</w:t>
            </w:r>
          </w:p>
        </w:tc>
      </w:tr>
      <w:tr w:rsidR="005256AF" w:rsidTr="00F92E92">
        <w:trPr>
          <w:trHeight w:val="65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56AF" w:rsidRPr="00A7621D" w:rsidRDefault="005256AF" w:rsidP="003C1EDB">
            <w:pPr>
              <w:pStyle w:val="Akapitzlist"/>
              <w:widowControl w:val="0"/>
              <w:numPr>
                <w:ilvl w:val="0"/>
                <w:numId w:val="1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56AF" w:rsidRPr="003C1EDB" w:rsidRDefault="005256AF" w:rsidP="003C1ED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Rok produkcji wszystkich elementów nie wcześniej niż 2026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56AF" w:rsidRPr="003C1EDB" w:rsidRDefault="005256AF" w:rsidP="00F4184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56AF" w:rsidRPr="003C1EDB" w:rsidRDefault="005256AF" w:rsidP="003C1EDB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  <w:shd w:val="clear" w:color="auto" w:fill="FFFF00"/>
              </w:rPr>
            </w:pPr>
          </w:p>
        </w:tc>
      </w:tr>
      <w:tr w:rsidR="005256AF" w:rsidTr="00F92E92">
        <w:trPr>
          <w:trHeight w:val="177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56AF" w:rsidRPr="00F41844" w:rsidRDefault="005256AF" w:rsidP="00F41844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F41844">
              <w:rPr>
                <w:rFonts w:asciiTheme="minorHAnsi" w:hAnsiTheme="minorHAnsi" w:cstheme="minorHAnsi"/>
                <w:b/>
                <w:sz w:val="22"/>
                <w:szCs w:val="22"/>
              </w:rPr>
              <w:t>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56AF" w:rsidRPr="003C1EDB" w:rsidRDefault="005256AF" w:rsidP="003C1EDB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Stacje dokujące (4 </w:t>
            </w:r>
            <w:proofErr w:type="spellStart"/>
            <w:r w:rsidRPr="00A755EB">
              <w:rPr>
                <w:rFonts w:asciiTheme="minorHAnsi" w:hAnsiTheme="minorHAnsi" w:cstheme="minorHAnsi"/>
                <w:b/>
                <w:sz w:val="22"/>
                <w:szCs w:val="22"/>
              </w:rPr>
              <w:t>szt</w:t>
            </w:r>
            <w:proofErr w:type="spellEnd"/>
            <w:r w:rsidRPr="00A755EB">
              <w:rPr>
                <w:rFonts w:asciiTheme="minorHAnsi" w:hAnsiTheme="minorHAnsi" w:cstheme="minorHAnsi"/>
                <w:b/>
                <w:sz w:val="22"/>
                <w:szCs w:val="22"/>
              </w:rPr>
              <w:t>)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56AF" w:rsidRPr="003C1EDB" w:rsidRDefault="005256AF" w:rsidP="00F4184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56AF" w:rsidRPr="003C1EDB" w:rsidRDefault="005256AF" w:rsidP="003C1EDB">
            <w:pPr>
              <w:pStyle w:val="Bezodstpw"/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113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256AF" w:rsidRPr="00A7621D" w:rsidRDefault="005256AF" w:rsidP="00F41844">
            <w:pPr>
              <w:pStyle w:val="Akapitzlist"/>
              <w:widowControl w:val="0"/>
              <w:numPr>
                <w:ilvl w:val="0"/>
                <w:numId w:val="17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256AF" w:rsidRPr="00A755EB" w:rsidRDefault="005256AF" w:rsidP="00F41844">
            <w:pPr>
              <w:snapToGri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Stacja dokująca umożliwiająca obsługę 6 pomp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256AF" w:rsidRPr="003C1EDB" w:rsidRDefault="005256AF" w:rsidP="00F4184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256AF" w:rsidRPr="003C1EDB" w:rsidRDefault="005256AF" w:rsidP="00F41844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113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F41844">
            <w:pPr>
              <w:pStyle w:val="Akapitzlist"/>
              <w:widowControl w:val="0"/>
              <w:numPr>
                <w:ilvl w:val="0"/>
                <w:numId w:val="17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6AF" w:rsidRPr="003C1EDB" w:rsidRDefault="005256AF" w:rsidP="00F4184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Obudowa stacji wykonana z tworzywa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F4184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F41844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  <w:shd w:val="clear" w:color="auto" w:fill="FFFF00"/>
              </w:rPr>
            </w:pPr>
          </w:p>
        </w:tc>
      </w:tr>
      <w:tr w:rsidR="005256AF" w:rsidTr="00F92E92">
        <w:trPr>
          <w:trHeight w:val="113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F41844">
            <w:pPr>
              <w:pStyle w:val="Akapitzlist"/>
              <w:widowControl w:val="0"/>
              <w:numPr>
                <w:ilvl w:val="0"/>
                <w:numId w:val="17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6AF" w:rsidRPr="003C1EDB" w:rsidRDefault="005256AF" w:rsidP="00F4184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Waga stacji do 5 kg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F41844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F41844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  <w:shd w:val="clear" w:color="auto" w:fill="FFFF00"/>
              </w:rPr>
            </w:pPr>
          </w:p>
        </w:tc>
      </w:tr>
      <w:tr w:rsidR="005256AF" w:rsidTr="00F92E92">
        <w:trPr>
          <w:trHeight w:val="113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F41844">
            <w:pPr>
              <w:pStyle w:val="Akapitzlist"/>
              <w:widowControl w:val="0"/>
              <w:numPr>
                <w:ilvl w:val="0"/>
                <w:numId w:val="17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6AF" w:rsidRPr="003C1EDB" w:rsidRDefault="005256AF" w:rsidP="00F41844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Mocowanie stacji do pionowych rur, kolumn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F41844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F41844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  <w:shd w:val="clear" w:color="auto" w:fill="FFFF00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256AF" w:rsidRPr="00A7621D" w:rsidRDefault="005256AF" w:rsidP="00F41844">
            <w:pPr>
              <w:pStyle w:val="Akapitzlist"/>
              <w:widowControl w:val="0"/>
              <w:numPr>
                <w:ilvl w:val="0"/>
                <w:numId w:val="17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256AF" w:rsidRPr="003C1EDB" w:rsidRDefault="005256AF" w:rsidP="00F4184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Zasilanie 230 V AC 50Hz</w:t>
            </w:r>
          </w:p>
        </w:tc>
        <w:tc>
          <w:tcPr>
            <w:tcW w:w="13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256AF" w:rsidRPr="003C1EDB" w:rsidRDefault="005256AF" w:rsidP="00F41844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 xml:space="preserve">TAK </w:t>
            </w:r>
          </w:p>
        </w:tc>
        <w:tc>
          <w:tcPr>
            <w:tcW w:w="3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256AF" w:rsidRPr="003C1EDB" w:rsidRDefault="005256AF" w:rsidP="00F41844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98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256AF" w:rsidRPr="00A7621D" w:rsidRDefault="005256AF" w:rsidP="00F41844">
            <w:pPr>
              <w:pStyle w:val="Akapitzlist"/>
              <w:widowControl w:val="0"/>
              <w:numPr>
                <w:ilvl w:val="0"/>
                <w:numId w:val="17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256AF" w:rsidRPr="003C1EDB" w:rsidRDefault="005256AF" w:rsidP="00F4184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System szybkiego mocowania pomp w stacji dokującej – bez konieczności demontażu elementów pompy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256AF" w:rsidRPr="003C1EDB" w:rsidRDefault="005256AF" w:rsidP="00F41844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256AF" w:rsidRPr="003C1EDB" w:rsidRDefault="005256AF" w:rsidP="00F41844">
            <w:pPr>
              <w:widowControl w:val="0"/>
              <w:jc w:val="center"/>
              <w:rPr>
                <w:rFonts w:asciiTheme="minorHAnsi" w:hAnsiTheme="minorHAnsi" w:cstheme="minorHAnsi"/>
                <w:color w:val="C9211E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256AF" w:rsidRPr="00A7621D" w:rsidRDefault="005256AF" w:rsidP="00F41844">
            <w:pPr>
              <w:pStyle w:val="Akapitzlist"/>
              <w:widowControl w:val="0"/>
              <w:numPr>
                <w:ilvl w:val="0"/>
                <w:numId w:val="17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</w:tcPr>
          <w:p w:rsidR="005256AF" w:rsidRPr="003C1EDB" w:rsidRDefault="005256AF" w:rsidP="00F4184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Możliwość szybkiego wyjęcia ze stacji każdej (dowolnej) pompy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256AF" w:rsidRPr="003C1EDB" w:rsidRDefault="005256AF" w:rsidP="00F41844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256AF" w:rsidRPr="003C1EDB" w:rsidRDefault="005256AF" w:rsidP="00F41844">
            <w:pPr>
              <w:widowControl w:val="0"/>
              <w:jc w:val="center"/>
              <w:rPr>
                <w:rFonts w:asciiTheme="minorHAnsi" w:hAnsiTheme="minorHAnsi" w:cstheme="minorHAnsi"/>
                <w:color w:val="C9211E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F41844">
            <w:pPr>
              <w:pStyle w:val="Akapitzlist"/>
              <w:widowControl w:val="0"/>
              <w:numPr>
                <w:ilvl w:val="0"/>
                <w:numId w:val="17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F41844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Zasilanie pomp ze stacji dokującej – automatyczne przyłączenie zasilania po włożeniu pompy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F41844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F41844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F41844">
            <w:pPr>
              <w:pStyle w:val="Akapitzlist"/>
              <w:widowControl w:val="0"/>
              <w:numPr>
                <w:ilvl w:val="0"/>
                <w:numId w:val="17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F41844">
            <w:pPr>
              <w:widowControl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Stacja wyposażona w sygnalizację świetlną, alarmową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F41844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TAK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F41844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F41844">
            <w:pPr>
              <w:pStyle w:val="Akapitzlist"/>
              <w:widowControl w:val="0"/>
              <w:numPr>
                <w:ilvl w:val="0"/>
                <w:numId w:val="17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F418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Przyłączanie stacji dokujących do systemu informatycznego szpitala za pomocą sieci Ethernet.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F41844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TAK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F41844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F41844">
            <w:pPr>
              <w:pStyle w:val="Akapitzlist"/>
              <w:widowControl w:val="0"/>
              <w:numPr>
                <w:ilvl w:val="0"/>
                <w:numId w:val="17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F418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Stacja posiadająca uchwyt do swobodnego przenoszenia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F41844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TAK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F41844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F41844">
            <w:pPr>
              <w:pStyle w:val="Akapitzlist"/>
              <w:widowControl w:val="0"/>
              <w:numPr>
                <w:ilvl w:val="0"/>
                <w:numId w:val="17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F418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 xml:space="preserve">Stacja wraz z wysięgnikiem do zawieszania pojemników </w:t>
            </w:r>
            <w:proofErr w:type="gramStart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z  płynami</w:t>
            </w:r>
            <w:proofErr w:type="gramEnd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 xml:space="preserve"> infuzyjnymi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F41844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TAK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F41844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F41844">
            <w:pPr>
              <w:pStyle w:val="Akapitzlist"/>
              <w:widowControl w:val="0"/>
              <w:numPr>
                <w:ilvl w:val="0"/>
                <w:numId w:val="17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F418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Stacja w zestawie ze statywem przeznaczonym do wieszania stacji dokujących i pomp o stabilnej, metalowej konstrukcji, na min. 4 kołach (w tym 2 z hamulcem)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F41844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TAK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F41844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F41844" w:rsidRDefault="005256AF" w:rsidP="00F41844">
            <w:pPr>
              <w:widowControl w:val="0"/>
              <w:snapToGrid w:val="0"/>
              <w:spacing w:before="96" w:after="96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41844">
              <w:rPr>
                <w:rFonts w:asciiTheme="minorHAnsi" w:hAnsiTheme="minorHAnsi" w:cstheme="minorHAnsi"/>
                <w:b/>
                <w:sz w:val="22"/>
                <w:szCs w:val="22"/>
              </w:rPr>
              <w:t>B.</w:t>
            </w: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F418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Pompy infuzyjne (24 </w:t>
            </w:r>
            <w:proofErr w:type="spellStart"/>
            <w:r w:rsidRPr="00A755E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szt</w:t>
            </w:r>
            <w:proofErr w:type="spellEnd"/>
            <w:r w:rsidRPr="00A755E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F41844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F41844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D957EA">
            <w:pPr>
              <w:pStyle w:val="Akapitzlist"/>
              <w:widowControl w:val="0"/>
              <w:numPr>
                <w:ilvl w:val="0"/>
                <w:numId w:val="19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F418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 xml:space="preserve">Stosowanie strzykawek </w:t>
            </w:r>
            <w:r w:rsidRPr="00A755EB">
              <w:rPr>
                <w:rFonts w:asciiTheme="minorHAnsi" w:hAnsiTheme="minorHAnsi" w:cstheme="minorHAnsi"/>
                <w:bCs/>
                <w:sz w:val="22"/>
                <w:szCs w:val="22"/>
              </w:rPr>
              <w:t>2</w:t>
            </w: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, 5, 6, 10, 12, 20, 30, 35, 50 ml.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F41844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TAK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F41844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D957EA">
            <w:pPr>
              <w:pStyle w:val="Akapitzlist"/>
              <w:widowControl w:val="0"/>
              <w:numPr>
                <w:ilvl w:val="0"/>
                <w:numId w:val="19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F418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bCs/>
                <w:sz w:val="22"/>
                <w:szCs w:val="22"/>
              </w:rPr>
              <w:t>Strzykawki montowane od czoła.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F41844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TAK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F41844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56AF" w:rsidRPr="00A7621D" w:rsidRDefault="005256AF" w:rsidP="00D957EA">
            <w:pPr>
              <w:pStyle w:val="Akapitzlist"/>
              <w:widowControl w:val="0"/>
              <w:numPr>
                <w:ilvl w:val="0"/>
                <w:numId w:val="19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56AF" w:rsidRPr="00A755EB" w:rsidRDefault="005256AF" w:rsidP="0069405E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Ramię pompy niewychodzące poza gabaryt obudowy.</w:t>
            </w:r>
          </w:p>
          <w:p w:rsidR="005256AF" w:rsidRDefault="005256AF" w:rsidP="00A46A8E">
            <w:pPr>
              <w:spacing w:before="20" w:after="2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5256AF" w:rsidRPr="00A755EB" w:rsidRDefault="005256AF" w:rsidP="0069405E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Tak – 20 pkt</w:t>
            </w:r>
          </w:p>
          <w:p w:rsidR="005256AF" w:rsidRPr="003C1EDB" w:rsidRDefault="005256AF" w:rsidP="0069405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Nie – 0 pkt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56AF" w:rsidRPr="003C1EDB" w:rsidRDefault="005256AF" w:rsidP="00F41844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NIE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56AF" w:rsidRPr="003C1EDB" w:rsidRDefault="005256AF" w:rsidP="00F41844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D957EA">
            <w:pPr>
              <w:pStyle w:val="Akapitzlist"/>
              <w:widowControl w:val="0"/>
              <w:numPr>
                <w:ilvl w:val="0"/>
                <w:numId w:val="19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F418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eastAsia="Arial" w:hAnsiTheme="minorHAnsi" w:cstheme="minorHAnsi"/>
                <w:color w:val="000000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Klawiatura symboliczna i fizyczna (</w:t>
            </w:r>
            <w:proofErr w:type="gramStart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nie wyświetlana</w:t>
            </w:r>
            <w:proofErr w:type="gramEnd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 xml:space="preserve"> na ekranie) klawiatura alfanumeryczna umożliwiająca szybkie i intuicyjne programowanie infuzji oraz obsługę pompy.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F41844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TAK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F41844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D957EA">
            <w:pPr>
              <w:pStyle w:val="Akapitzlist"/>
              <w:widowControl w:val="0"/>
              <w:numPr>
                <w:ilvl w:val="0"/>
                <w:numId w:val="19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F418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Wysokość pompy max 12 cm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F41844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TAK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F41844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D957EA">
            <w:pPr>
              <w:pStyle w:val="Akapitzlist"/>
              <w:widowControl w:val="0"/>
              <w:numPr>
                <w:ilvl w:val="0"/>
                <w:numId w:val="19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F418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Szybkość dozowania w zakresie 0,1-2000 ml/h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F41844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TAK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F41844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D957EA">
            <w:pPr>
              <w:pStyle w:val="Akapitzlist"/>
              <w:widowControl w:val="0"/>
              <w:numPr>
                <w:ilvl w:val="0"/>
                <w:numId w:val="19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D957EA">
            <w:pPr>
              <w:snapToGri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Programowanie parametrów infuzji w jednostkach:</w:t>
            </w:r>
          </w:p>
          <w:p w:rsidR="005256AF" w:rsidRPr="00A755EB" w:rsidRDefault="005256AF" w:rsidP="00D957EA">
            <w:pPr>
              <w:numPr>
                <w:ilvl w:val="0"/>
                <w:numId w:val="18"/>
              </w:numPr>
              <w:ind w:left="383" w:hanging="284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gram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ml</w:t>
            </w:r>
            <w:proofErr w:type="gram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 L,</w:t>
            </w:r>
          </w:p>
          <w:p w:rsidR="005256AF" w:rsidRPr="00A755EB" w:rsidRDefault="005256AF" w:rsidP="00D957EA">
            <w:pPr>
              <w:numPr>
                <w:ilvl w:val="0"/>
                <w:numId w:val="18"/>
              </w:numPr>
              <w:ind w:left="383" w:hanging="284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ng</w:t>
            </w:r>
            <w:proofErr w:type="spellEnd"/>
            <w:proofErr w:type="gram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μg</w:t>
            </w:r>
            <w:proofErr w:type="spell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 mg, g,</w:t>
            </w:r>
          </w:p>
          <w:p w:rsidR="005256AF" w:rsidRPr="00A755EB" w:rsidRDefault="005256AF" w:rsidP="00D957EA">
            <w:pPr>
              <w:numPr>
                <w:ilvl w:val="0"/>
                <w:numId w:val="18"/>
              </w:numPr>
              <w:ind w:left="383" w:hanging="284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μEq</w:t>
            </w:r>
            <w:proofErr w:type="spell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mEq</w:t>
            </w:r>
            <w:proofErr w:type="spell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Eq</w:t>
            </w:r>
            <w:proofErr w:type="spell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</w:t>
            </w:r>
          </w:p>
          <w:p w:rsidR="005256AF" w:rsidRPr="00A755EB" w:rsidRDefault="005256AF" w:rsidP="00D957EA">
            <w:pPr>
              <w:numPr>
                <w:ilvl w:val="0"/>
                <w:numId w:val="18"/>
              </w:numPr>
              <w:ind w:left="383" w:hanging="284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mlU</w:t>
            </w:r>
            <w:proofErr w:type="spellEnd"/>
            <w:proofErr w:type="gram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, IU, </w:t>
            </w:r>
            <w:proofErr w:type="spell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kIU</w:t>
            </w:r>
            <w:proofErr w:type="spell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</w:t>
            </w:r>
          </w:p>
          <w:p w:rsidR="005256AF" w:rsidRPr="00A755EB" w:rsidRDefault="005256AF" w:rsidP="00D957EA">
            <w:pPr>
              <w:numPr>
                <w:ilvl w:val="0"/>
                <w:numId w:val="18"/>
              </w:numPr>
              <w:ind w:left="383" w:hanging="284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mIE</w:t>
            </w:r>
            <w:proofErr w:type="spellEnd"/>
            <w:proofErr w:type="gram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, IE, </w:t>
            </w:r>
            <w:proofErr w:type="spell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kIE</w:t>
            </w:r>
            <w:proofErr w:type="spell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</w:t>
            </w:r>
          </w:p>
          <w:p w:rsidR="005256AF" w:rsidRPr="00A755EB" w:rsidRDefault="005256AF" w:rsidP="00D957EA">
            <w:pPr>
              <w:numPr>
                <w:ilvl w:val="0"/>
                <w:numId w:val="18"/>
              </w:numPr>
              <w:ind w:left="383" w:hanging="284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gram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cal</w:t>
            </w:r>
            <w:proofErr w:type="gram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 kcal,</w:t>
            </w:r>
          </w:p>
          <w:p w:rsidR="005256AF" w:rsidRPr="00A755EB" w:rsidRDefault="005256AF" w:rsidP="00D957EA">
            <w:pPr>
              <w:numPr>
                <w:ilvl w:val="0"/>
                <w:numId w:val="18"/>
              </w:numPr>
              <w:ind w:left="383" w:hanging="284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J, </w:t>
            </w:r>
            <w:proofErr w:type="spell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kJ</w:t>
            </w:r>
            <w:proofErr w:type="spell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</w:t>
            </w:r>
          </w:p>
          <w:p w:rsidR="005256AF" w:rsidRPr="00A755EB" w:rsidRDefault="005256AF" w:rsidP="00D957EA">
            <w:pPr>
              <w:numPr>
                <w:ilvl w:val="0"/>
                <w:numId w:val="18"/>
              </w:numPr>
              <w:spacing w:after="60"/>
              <w:ind w:left="380" w:hanging="284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mmol</w:t>
            </w:r>
            <w:proofErr w:type="spellEnd"/>
            <w:proofErr w:type="gram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, mol, </w:t>
            </w:r>
          </w:p>
          <w:p w:rsidR="005256AF" w:rsidRPr="00A755EB" w:rsidRDefault="005256AF" w:rsidP="00D957EA">
            <w:pPr>
              <w:ind w:left="99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gram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</w:t>
            </w:r>
            <w:proofErr w:type="gram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uwzględnieniem wagi pacjenta lub nie,</w:t>
            </w:r>
          </w:p>
          <w:p w:rsidR="005256AF" w:rsidRPr="00D957EA" w:rsidRDefault="005256AF" w:rsidP="00D957EA">
            <w:pPr>
              <w:ind w:left="99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gram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</w:t>
            </w:r>
            <w:proofErr w:type="gram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uwzględnieniem powierzchni pacjenta lub nie, na min, godz., dobę.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F41844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TAK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F41844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D957EA">
            <w:pPr>
              <w:pStyle w:val="Akapitzlist"/>
              <w:widowControl w:val="0"/>
              <w:numPr>
                <w:ilvl w:val="0"/>
                <w:numId w:val="19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F418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bCs/>
                <w:sz w:val="22"/>
                <w:szCs w:val="22"/>
              </w:rPr>
              <w:t>Zabezpieczenie przed gwałtowną zmianą szybkości w trakcie trwania infuzji (miareczkowanie).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F41844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TAK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F41844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D957EA">
            <w:pPr>
              <w:pStyle w:val="Akapitzlist"/>
              <w:widowControl w:val="0"/>
              <w:numPr>
                <w:ilvl w:val="0"/>
                <w:numId w:val="19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D957EA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Tryby dozowania:</w:t>
            </w:r>
          </w:p>
          <w:p w:rsidR="005256AF" w:rsidRPr="00A755EB" w:rsidRDefault="005256AF" w:rsidP="00D957EA">
            <w:pPr>
              <w:numPr>
                <w:ilvl w:val="0"/>
                <w:numId w:val="20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Infuzja ciągła,</w:t>
            </w:r>
          </w:p>
          <w:p w:rsidR="005256AF" w:rsidRPr="00A755EB" w:rsidRDefault="005256AF" w:rsidP="00D957EA">
            <w:pPr>
              <w:numPr>
                <w:ilvl w:val="0"/>
                <w:numId w:val="20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Infuzja bolusowa (z przerwą),</w:t>
            </w:r>
          </w:p>
          <w:p w:rsidR="005256AF" w:rsidRPr="00A755EB" w:rsidRDefault="005256AF" w:rsidP="00D957EA">
            <w:pPr>
              <w:numPr>
                <w:ilvl w:val="0"/>
                <w:numId w:val="20"/>
              </w:numPr>
              <w:snapToGri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Infuzja profilowa (24 kroki infuzji),</w:t>
            </w:r>
          </w:p>
          <w:p w:rsidR="005256AF" w:rsidRPr="00A755EB" w:rsidRDefault="005256AF" w:rsidP="00D957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Infuzja TPN (narastanie / utrzymanie / opadanie).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F41844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TAK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F41844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D957EA">
            <w:pPr>
              <w:pStyle w:val="Akapitzlist"/>
              <w:widowControl w:val="0"/>
              <w:numPr>
                <w:ilvl w:val="0"/>
                <w:numId w:val="19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F418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Dokładność infuzji ± 2%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F41844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TAK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F41844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D957EA">
            <w:pPr>
              <w:pStyle w:val="Akapitzlist"/>
              <w:widowControl w:val="0"/>
              <w:numPr>
                <w:ilvl w:val="0"/>
                <w:numId w:val="19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D957EA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Programowanie parametrów podaży Bolus-a i dawki indukcyjnej:</w:t>
            </w:r>
          </w:p>
          <w:p w:rsidR="005256AF" w:rsidRDefault="005256AF" w:rsidP="00D957EA">
            <w:pPr>
              <w:numPr>
                <w:ilvl w:val="0"/>
                <w:numId w:val="21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objętość</w:t>
            </w:r>
            <w:proofErr w:type="gramEnd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 xml:space="preserve"> / dawka</w:t>
            </w:r>
          </w:p>
          <w:p w:rsidR="005256AF" w:rsidRPr="00D957EA" w:rsidRDefault="005256AF" w:rsidP="00D957EA">
            <w:pPr>
              <w:numPr>
                <w:ilvl w:val="0"/>
                <w:numId w:val="21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D957EA">
              <w:rPr>
                <w:rFonts w:asciiTheme="minorHAnsi" w:hAnsiTheme="minorHAnsi" w:cstheme="minorHAnsi"/>
                <w:sz w:val="22"/>
                <w:szCs w:val="22"/>
              </w:rPr>
              <w:t>czas</w:t>
            </w:r>
            <w:proofErr w:type="gramEnd"/>
            <w:r w:rsidRPr="00D957EA">
              <w:rPr>
                <w:rFonts w:asciiTheme="minorHAnsi" w:hAnsiTheme="minorHAnsi" w:cstheme="minorHAnsi"/>
                <w:sz w:val="22"/>
                <w:szCs w:val="22"/>
              </w:rPr>
              <w:t xml:space="preserve"> lub szybkość podaży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F41844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TAK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F41844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D957EA">
            <w:pPr>
              <w:pStyle w:val="Akapitzlist"/>
              <w:widowControl w:val="0"/>
              <w:numPr>
                <w:ilvl w:val="0"/>
                <w:numId w:val="19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F418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bCs/>
                <w:sz w:val="22"/>
                <w:szCs w:val="22"/>
              </w:rPr>
              <w:t>Automatyczne zmniejszenie szybkości podaży bolusa, w celu uniknięcia przerwania infuzji na skutek alarmu okluzji.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F41844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TAK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F41844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D957EA">
            <w:pPr>
              <w:pStyle w:val="Akapitzlist"/>
              <w:widowControl w:val="0"/>
              <w:numPr>
                <w:ilvl w:val="0"/>
                <w:numId w:val="19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D957EA">
            <w:pPr>
              <w:snapToGri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Możliwość wgrania do pompy biblioteki leków złożonej z procedur dozowania </w:t>
            </w:r>
            <w:proofErr w:type="gram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zawierających co</w:t>
            </w:r>
            <w:proofErr w:type="gram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najmniej:</w:t>
            </w:r>
          </w:p>
          <w:p w:rsidR="005256AF" w:rsidRPr="00A755EB" w:rsidRDefault="005256AF" w:rsidP="00D957EA">
            <w:pPr>
              <w:numPr>
                <w:ilvl w:val="0"/>
                <w:numId w:val="22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nazwy</w:t>
            </w:r>
            <w:proofErr w:type="gramEnd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 xml:space="preserve"> leku,</w:t>
            </w:r>
          </w:p>
          <w:p w:rsidR="005256AF" w:rsidRPr="00A755EB" w:rsidRDefault="005256AF" w:rsidP="00D957EA">
            <w:pPr>
              <w:numPr>
                <w:ilvl w:val="0"/>
                <w:numId w:val="22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10 koncentracji leku,</w:t>
            </w:r>
          </w:p>
          <w:p w:rsidR="005256AF" w:rsidRPr="00A755EB" w:rsidRDefault="005256AF" w:rsidP="00D957EA">
            <w:pPr>
              <w:numPr>
                <w:ilvl w:val="0"/>
                <w:numId w:val="22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szybkości</w:t>
            </w:r>
            <w:proofErr w:type="gramEnd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 xml:space="preserve"> dozowania (dawkowanie),</w:t>
            </w:r>
          </w:p>
          <w:p w:rsidR="005256AF" w:rsidRPr="00A755EB" w:rsidRDefault="005256AF" w:rsidP="00D957EA">
            <w:pPr>
              <w:numPr>
                <w:ilvl w:val="0"/>
                <w:numId w:val="22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całkowitej</w:t>
            </w:r>
            <w:proofErr w:type="gramEnd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 xml:space="preserve"> objętości (dawki) infuzji,</w:t>
            </w:r>
          </w:p>
          <w:p w:rsidR="005256AF" w:rsidRPr="00A755EB" w:rsidRDefault="005256AF" w:rsidP="00D957EA">
            <w:pPr>
              <w:numPr>
                <w:ilvl w:val="0"/>
                <w:numId w:val="22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parametrów</w:t>
            </w:r>
            <w:proofErr w:type="gramEnd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 xml:space="preserve"> bolusa, oraz dawki indukcyjnej,</w:t>
            </w:r>
          </w:p>
          <w:p w:rsidR="005256AF" w:rsidRPr="00A755EB" w:rsidRDefault="005256AF" w:rsidP="00D957EA">
            <w:pPr>
              <w:numPr>
                <w:ilvl w:val="0"/>
                <w:numId w:val="22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limitów</w:t>
            </w:r>
            <w:proofErr w:type="gramEnd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 xml:space="preserve"> dla wymienionych parametrów infuzji:</w:t>
            </w:r>
          </w:p>
          <w:p w:rsidR="005256AF" w:rsidRPr="00A755EB" w:rsidRDefault="005256AF" w:rsidP="00D957EA">
            <w:pPr>
              <w:numPr>
                <w:ilvl w:val="1"/>
                <w:numId w:val="22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miękkich</w:t>
            </w:r>
            <w:proofErr w:type="gramEnd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 xml:space="preserve">, ostrzegających o przekroczeniu zalecanych wartości parametrów, </w:t>
            </w:r>
          </w:p>
          <w:p w:rsidR="005256AF" w:rsidRPr="00A755EB" w:rsidRDefault="005256AF" w:rsidP="00D957EA">
            <w:pPr>
              <w:numPr>
                <w:ilvl w:val="1"/>
                <w:numId w:val="22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twardych</w:t>
            </w:r>
            <w:proofErr w:type="gramEnd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 xml:space="preserve"> – blokujących możliwość wprowadzenia wartości spoza ich zakresu.</w:t>
            </w:r>
          </w:p>
          <w:p w:rsidR="005256AF" w:rsidRPr="00A755EB" w:rsidRDefault="005256AF" w:rsidP="00D957EA">
            <w:pPr>
              <w:numPr>
                <w:ilvl w:val="0"/>
                <w:numId w:val="22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Notatki doradczej możliwej do odczytania przed rozpoczęciem infuzji.</w:t>
            </w:r>
          </w:p>
          <w:p w:rsidR="005256AF" w:rsidRPr="00A755EB" w:rsidRDefault="005256AF" w:rsidP="00D957EA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Podział biblioteki na osobne grupy dedykowane poszczególnym oddziałom szpitalnym, do 40 oddziałów. Wybór oddziału dostępny w pompie.</w:t>
            </w:r>
          </w:p>
          <w:p w:rsidR="005256AF" w:rsidRPr="00A755EB" w:rsidRDefault="005256AF" w:rsidP="00D957EA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Podział biblioteki dedykowanej oddziałom na 40 kategorii lekowych.</w:t>
            </w:r>
          </w:p>
          <w:p w:rsidR="005256AF" w:rsidRPr="00A755EB" w:rsidRDefault="005256AF" w:rsidP="00D957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 xml:space="preserve">Pojemność biblioteki min. </w:t>
            </w:r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4000</w:t>
            </w: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 xml:space="preserve"> procedur dozowania leków.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F41844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lastRenderedPageBreak/>
              <w:t>TAK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F41844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D957EA">
            <w:pPr>
              <w:pStyle w:val="Akapitzlist"/>
              <w:widowControl w:val="0"/>
              <w:numPr>
                <w:ilvl w:val="0"/>
                <w:numId w:val="19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F4184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Dostępność polskojęzycznego oprogramowania komputerowego do tworzenia i przesyłania do pompy biblioteki leków.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F41844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TAK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F41844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D957EA">
            <w:pPr>
              <w:pStyle w:val="Akapitzlist"/>
              <w:widowControl w:val="0"/>
              <w:numPr>
                <w:ilvl w:val="0"/>
                <w:numId w:val="19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D957EA">
            <w:pPr>
              <w:snapToGri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Ekran infuzji umożliwiający wyświetlenie następujących informacji jednocześnie:</w:t>
            </w:r>
          </w:p>
          <w:p w:rsidR="005256AF" w:rsidRPr="00A755EB" w:rsidRDefault="005256AF" w:rsidP="00D957EA">
            <w:pPr>
              <w:numPr>
                <w:ilvl w:val="0"/>
                <w:numId w:val="23"/>
              </w:numPr>
              <w:suppressAutoHyphens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gram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nazwa</w:t>
            </w:r>
            <w:proofErr w:type="gram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leku,</w:t>
            </w:r>
          </w:p>
          <w:p w:rsidR="005256AF" w:rsidRPr="00A755EB" w:rsidRDefault="005256AF" w:rsidP="00D957EA">
            <w:pPr>
              <w:numPr>
                <w:ilvl w:val="0"/>
                <w:numId w:val="23"/>
              </w:numPr>
              <w:suppressAutoHyphens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gram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koncentracja</w:t>
            </w:r>
            <w:proofErr w:type="gram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leku,</w:t>
            </w:r>
          </w:p>
          <w:p w:rsidR="005256AF" w:rsidRPr="00A755EB" w:rsidRDefault="005256AF" w:rsidP="00D957EA">
            <w:pPr>
              <w:numPr>
                <w:ilvl w:val="0"/>
                <w:numId w:val="23"/>
              </w:numPr>
              <w:suppressAutoHyphens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gram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szybkość</w:t>
            </w:r>
            <w:proofErr w:type="gram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infuzji,</w:t>
            </w:r>
          </w:p>
          <w:p w:rsidR="005256AF" w:rsidRPr="00A755EB" w:rsidRDefault="005256AF" w:rsidP="00D957EA">
            <w:pPr>
              <w:numPr>
                <w:ilvl w:val="0"/>
                <w:numId w:val="23"/>
              </w:numPr>
              <w:suppressAutoHyphens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gram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informacji</w:t>
            </w:r>
            <w:proofErr w:type="gram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 że wartość szybkości infuzji mieści się w zalecanym zakresie lub znajduje się w zakresie limitu miękkiego dolnego lub górnego,</w:t>
            </w:r>
          </w:p>
          <w:p w:rsidR="005256AF" w:rsidRPr="00A755EB" w:rsidRDefault="005256AF" w:rsidP="00D957EA">
            <w:pPr>
              <w:numPr>
                <w:ilvl w:val="0"/>
                <w:numId w:val="23"/>
              </w:numPr>
              <w:suppressAutoHyphens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gram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podana</w:t>
            </w:r>
            <w:proofErr w:type="gram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dawka,</w:t>
            </w:r>
          </w:p>
          <w:p w:rsidR="005256AF" w:rsidRPr="00A755EB" w:rsidRDefault="005256AF" w:rsidP="00D957EA">
            <w:pPr>
              <w:numPr>
                <w:ilvl w:val="0"/>
                <w:numId w:val="23"/>
              </w:numPr>
              <w:suppressAutoHyphens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gram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poziom</w:t>
            </w:r>
            <w:proofErr w:type="gram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limitów dla szybkości infuzji,</w:t>
            </w:r>
          </w:p>
          <w:p w:rsidR="005256AF" w:rsidRPr="00A755EB" w:rsidRDefault="005256AF" w:rsidP="00D957EA">
            <w:pPr>
              <w:numPr>
                <w:ilvl w:val="0"/>
                <w:numId w:val="23"/>
              </w:numPr>
              <w:suppressAutoHyphens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gram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czas</w:t>
            </w:r>
            <w:proofErr w:type="gram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do końca dawki lub czas do końca strzykawki w formie graficznej,</w:t>
            </w:r>
          </w:p>
          <w:p w:rsidR="005256AF" w:rsidRPr="00A755EB" w:rsidRDefault="005256AF" w:rsidP="00D957EA">
            <w:pPr>
              <w:numPr>
                <w:ilvl w:val="0"/>
                <w:numId w:val="23"/>
              </w:numPr>
              <w:suppressAutoHyphens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gram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kategorii</w:t>
            </w:r>
            <w:proofErr w:type="gram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leku wyodrębnionej kolorem,</w:t>
            </w:r>
          </w:p>
          <w:p w:rsidR="005256AF" w:rsidRPr="00A755EB" w:rsidRDefault="005256AF" w:rsidP="00D957EA">
            <w:pPr>
              <w:numPr>
                <w:ilvl w:val="0"/>
                <w:numId w:val="23"/>
              </w:numPr>
              <w:suppressAutoHyphens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gram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stan</w:t>
            </w:r>
            <w:proofErr w:type="gram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naładowania akumulatora,</w:t>
            </w:r>
          </w:p>
          <w:p w:rsidR="005256AF" w:rsidRPr="00A755EB" w:rsidRDefault="005256AF" w:rsidP="00D957EA">
            <w:pPr>
              <w:numPr>
                <w:ilvl w:val="0"/>
                <w:numId w:val="23"/>
              </w:numPr>
              <w:suppressAutoHyphens w:val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aktualne</w:t>
            </w:r>
            <w:proofErr w:type="gram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ciśnienie w linii pacjenta w formie graficznej.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D957E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TAK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D957EA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D957EA">
            <w:pPr>
              <w:pStyle w:val="Akapitzlist"/>
              <w:widowControl w:val="0"/>
              <w:numPr>
                <w:ilvl w:val="0"/>
                <w:numId w:val="19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D957EA">
            <w:pPr>
              <w:snapToGri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Kolorowy ekran pompy.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D957E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TAK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D957EA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D957EA">
            <w:pPr>
              <w:pStyle w:val="Akapitzlist"/>
              <w:widowControl w:val="0"/>
              <w:numPr>
                <w:ilvl w:val="0"/>
                <w:numId w:val="19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D957EA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Ekran dotykowy, przyspieszający wybór funkcji pompy.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D957E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TAK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D957EA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D957EA">
            <w:pPr>
              <w:pStyle w:val="Akapitzlist"/>
              <w:widowControl w:val="0"/>
              <w:numPr>
                <w:ilvl w:val="0"/>
                <w:numId w:val="19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D957EA">
            <w:pPr>
              <w:snapToGrid w:val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bCs/>
                <w:sz w:val="22"/>
                <w:szCs w:val="22"/>
              </w:rPr>
              <w:t>Kolorystyczne wyróżnienie ekranu infuzji do żywienia dojelitowego względem innych realizowanych infuzji.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D957E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TAK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D957EA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D957EA">
            <w:pPr>
              <w:pStyle w:val="Akapitzlist"/>
              <w:widowControl w:val="0"/>
              <w:numPr>
                <w:ilvl w:val="0"/>
                <w:numId w:val="19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D957EA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Napisy na wyświetlaczu w języku polskim.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D957E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TAK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D957EA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D957EA">
            <w:pPr>
              <w:pStyle w:val="Akapitzlist"/>
              <w:widowControl w:val="0"/>
              <w:numPr>
                <w:ilvl w:val="0"/>
                <w:numId w:val="19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D957EA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Regulowane progi ciśnienia okluzji, 12 poziomów.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D957E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TAK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D957EA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D957EA">
            <w:pPr>
              <w:pStyle w:val="Akapitzlist"/>
              <w:widowControl w:val="0"/>
              <w:numPr>
                <w:ilvl w:val="0"/>
                <w:numId w:val="19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D957EA">
            <w:pPr>
              <w:snapToGrid w:val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bCs/>
                <w:sz w:val="22"/>
                <w:szCs w:val="22"/>
              </w:rPr>
              <w:t>Progi ciśnienia regulowane w zakresie 75-900 mmHg.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D957E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TAK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D957EA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D957EA">
            <w:pPr>
              <w:pStyle w:val="Akapitzlist"/>
              <w:widowControl w:val="0"/>
              <w:numPr>
                <w:ilvl w:val="0"/>
                <w:numId w:val="19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D957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bCs/>
                <w:sz w:val="22"/>
                <w:szCs w:val="22"/>
              </w:rPr>
              <w:t>Zmiana progu ciśnienia okluzji bez przerywania infuzji.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D957E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TAK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D957EA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D957EA">
            <w:pPr>
              <w:pStyle w:val="Akapitzlist"/>
              <w:widowControl w:val="0"/>
              <w:numPr>
                <w:ilvl w:val="0"/>
                <w:numId w:val="19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D957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 xml:space="preserve">Automatyczna redukcja bolusa </w:t>
            </w:r>
            <w:proofErr w:type="spellStart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okluzyjnego</w:t>
            </w:r>
            <w:proofErr w:type="spellEnd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D957E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TAK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D957EA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D957EA">
            <w:pPr>
              <w:pStyle w:val="Akapitzlist"/>
              <w:widowControl w:val="0"/>
              <w:numPr>
                <w:ilvl w:val="0"/>
                <w:numId w:val="19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D957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Priorytetowy system alarmów, zapewniający zróżnicowany sygnał dźwiękowy i świetlny, zależnie od stopnia zagrożenia.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D957E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TAK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D957EA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D957EA">
            <w:pPr>
              <w:pStyle w:val="Akapitzlist"/>
              <w:widowControl w:val="0"/>
              <w:numPr>
                <w:ilvl w:val="0"/>
                <w:numId w:val="19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D957EA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Możliwość instalacji pompy w stacji dokującej:</w:t>
            </w:r>
          </w:p>
          <w:p w:rsidR="005256AF" w:rsidRPr="00A755EB" w:rsidRDefault="005256AF" w:rsidP="00D957EA">
            <w:pPr>
              <w:numPr>
                <w:ilvl w:val="0"/>
                <w:numId w:val="24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bCs/>
                <w:sz w:val="22"/>
                <w:szCs w:val="22"/>
              </w:rPr>
              <w:t>Zatrzaskowe mocowanie z automatyczną blokadą, bez konieczności przykręcania.</w:t>
            </w:r>
          </w:p>
          <w:p w:rsidR="005256AF" w:rsidRPr="00A755EB" w:rsidRDefault="005256AF" w:rsidP="00D957EA">
            <w:pPr>
              <w:numPr>
                <w:ilvl w:val="0"/>
                <w:numId w:val="2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Alarm nieprawidłowego mocowania pomp w stacji,</w:t>
            </w:r>
          </w:p>
          <w:p w:rsidR="005256AF" w:rsidRPr="00A755EB" w:rsidRDefault="005256AF" w:rsidP="00D957EA">
            <w:pPr>
              <w:numPr>
                <w:ilvl w:val="0"/>
                <w:numId w:val="2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 xml:space="preserve">Pompy mocowane niezależnie, jedna nad drugą, </w:t>
            </w:r>
          </w:p>
          <w:p w:rsidR="005256AF" w:rsidRPr="00A755EB" w:rsidRDefault="005256AF" w:rsidP="00D957EA">
            <w:pPr>
              <w:numPr>
                <w:ilvl w:val="0"/>
                <w:numId w:val="24"/>
              </w:num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bCs/>
                <w:sz w:val="22"/>
                <w:szCs w:val="22"/>
              </w:rPr>
              <w:t>Automatyczne przyłączenie zasilania ze stacji dokującej,</w:t>
            </w:r>
          </w:p>
          <w:p w:rsidR="005256AF" w:rsidRPr="00A755EB" w:rsidRDefault="005256AF" w:rsidP="00D957EA">
            <w:pPr>
              <w:numPr>
                <w:ilvl w:val="0"/>
                <w:numId w:val="24"/>
              </w:numPr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 xml:space="preserve">Automatyczne przyłączenie portu komunikacyjnego ze stacji dokującej wyposażonej w port komunikacyjny </w:t>
            </w:r>
          </w:p>
          <w:p w:rsidR="005256AF" w:rsidRPr="00A755EB" w:rsidRDefault="005256AF" w:rsidP="00D957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 xml:space="preserve">Świetlna sygnalizacja stanu pomp: infuzja, alarm, </w:t>
            </w:r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STOP.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D957E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TAK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D957EA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D957EA">
            <w:pPr>
              <w:pStyle w:val="Akapitzlist"/>
              <w:widowControl w:val="0"/>
              <w:numPr>
                <w:ilvl w:val="0"/>
                <w:numId w:val="19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D957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Mocowanie pojedynczej pompy do statywów lub pionowych kolumn niewymagające dołączenia jakichkolwiek części, w szczególności uchwytu mocującego, po bezpośrednim wyjęciu pompy z stacji dokującej.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D957E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TAK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D957EA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D957EA">
            <w:pPr>
              <w:pStyle w:val="Akapitzlist"/>
              <w:widowControl w:val="0"/>
              <w:numPr>
                <w:ilvl w:val="0"/>
                <w:numId w:val="19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D957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Mocowanie pomp w stacji dokującej niewymagające odłączenia jakichkolwiek części, w szczególności uchwytu mocującego, po bezpośrednim zdjęciu pompy ze statywu.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D957E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TAK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D957EA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D957EA">
            <w:pPr>
              <w:pStyle w:val="Akapitzlist"/>
              <w:widowControl w:val="0"/>
              <w:numPr>
                <w:ilvl w:val="0"/>
                <w:numId w:val="19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D957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Uchwyt do przenoszenia pompy na stałe związany z pompą, niewymagający odłączania przy mocowaniu pomp w stacjach dokujących.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D957E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TAK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D957EA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D957EA">
            <w:pPr>
              <w:pStyle w:val="Akapitzlist"/>
              <w:widowControl w:val="0"/>
              <w:numPr>
                <w:ilvl w:val="0"/>
                <w:numId w:val="19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D957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Możliwość komunikacji pomp umieszczonych w stacjach dokujących </w:t>
            </w:r>
            <w:r w:rsidRPr="00A755EB">
              <w:rPr>
                <w:rFonts w:asciiTheme="minorHAnsi" w:hAnsiTheme="minorHAnsi" w:cstheme="minorHAnsi"/>
                <w:color w:val="000000"/>
                <w:kern w:val="20"/>
                <w:sz w:val="22"/>
                <w:szCs w:val="22"/>
              </w:rPr>
              <w:t xml:space="preserve">wyposażonych w </w:t>
            </w:r>
            <w:proofErr w:type="spellStart"/>
            <w:r w:rsidRPr="00A755EB">
              <w:rPr>
                <w:rFonts w:asciiTheme="minorHAnsi" w:hAnsiTheme="minorHAnsi" w:cstheme="minorHAnsi"/>
                <w:color w:val="000000"/>
                <w:kern w:val="20"/>
                <w:sz w:val="22"/>
                <w:szCs w:val="22"/>
              </w:rPr>
              <w:t>interface</w:t>
            </w:r>
            <w:proofErr w:type="spellEnd"/>
            <w:r w:rsidRPr="00A755EB">
              <w:rPr>
                <w:rFonts w:asciiTheme="minorHAnsi" w:hAnsiTheme="minorHAnsi" w:cstheme="minorHAnsi"/>
                <w:color w:val="000000"/>
                <w:kern w:val="20"/>
                <w:sz w:val="22"/>
                <w:szCs w:val="22"/>
              </w:rPr>
              <w:t xml:space="preserve"> LAN z oprogramowaniem zewnętrznym.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D957E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TAK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D957EA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D957EA">
            <w:pPr>
              <w:pStyle w:val="Akapitzlist"/>
              <w:widowControl w:val="0"/>
              <w:numPr>
                <w:ilvl w:val="0"/>
                <w:numId w:val="19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D957EA">
            <w:pPr>
              <w:snapToGrid w:val="0"/>
              <w:rPr>
                <w:rFonts w:asciiTheme="minorHAnsi" w:hAnsiTheme="minorHAnsi" w:cstheme="minorHAnsi"/>
                <w:kern w:val="2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Historia infuzji – możliwość zapamiętania min. 2000 pełnych infuzji.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D957E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TAK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D957EA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D957EA">
            <w:pPr>
              <w:pStyle w:val="Akapitzlist"/>
              <w:widowControl w:val="0"/>
              <w:numPr>
                <w:ilvl w:val="0"/>
                <w:numId w:val="19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D957EA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Klasa ochrony II, typ CF, odporność na defibrylację, ochrona obudowy IP22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D957E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TAK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D957EA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D957EA">
            <w:pPr>
              <w:pStyle w:val="Akapitzlist"/>
              <w:widowControl w:val="0"/>
              <w:numPr>
                <w:ilvl w:val="0"/>
                <w:numId w:val="19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D957EA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Zasilanie pomp mocowanych poza stacją dokującą bezpośrednio z sieci energetycznej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D957E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TAK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D957EA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56AF" w:rsidRPr="00A7621D" w:rsidRDefault="005256AF" w:rsidP="00D957EA">
            <w:pPr>
              <w:pStyle w:val="Akapitzlist"/>
              <w:widowControl w:val="0"/>
              <w:numPr>
                <w:ilvl w:val="0"/>
                <w:numId w:val="19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56AF" w:rsidRDefault="005256AF" w:rsidP="005256AF">
            <w:pPr>
              <w:snapToGrid w:val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Czas pracy z akumulatora min.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24h przy infuzji </w:t>
            </w:r>
            <w:r w:rsidRPr="00A755EB">
              <w:rPr>
                <w:rFonts w:asciiTheme="minorHAnsi" w:hAnsiTheme="minorHAnsi" w:cstheme="minorHAnsi"/>
                <w:bCs/>
                <w:sz w:val="22"/>
                <w:szCs w:val="22"/>
              </w:rPr>
              <w:t>5 ml/h.</w:t>
            </w:r>
          </w:p>
          <w:p w:rsidR="005256AF" w:rsidRDefault="005256AF" w:rsidP="005256AF">
            <w:pPr>
              <w:spacing w:before="20" w:after="2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5256AF" w:rsidRDefault="005256AF" w:rsidP="005256AF">
            <w:pPr>
              <w:snapToGrid w:val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24 h – 0 pkt</w:t>
            </w:r>
          </w:p>
          <w:p w:rsidR="005256AF" w:rsidRPr="00A755EB" w:rsidRDefault="005256AF" w:rsidP="005256AF">
            <w:pPr>
              <w:snapToGrid w:val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Powyżej – 10 pkt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56AF" w:rsidRPr="003C1EDB" w:rsidRDefault="005256AF" w:rsidP="00D957E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TAK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56AF" w:rsidRPr="003C1EDB" w:rsidRDefault="005256AF" w:rsidP="00D957EA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D957EA">
            <w:pPr>
              <w:pStyle w:val="Akapitzlist"/>
              <w:widowControl w:val="0"/>
              <w:numPr>
                <w:ilvl w:val="0"/>
                <w:numId w:val="19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D957EA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Czas ładowania akumulatora do 100% po pełnym rozładowaniu – poniżej 5 h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D957E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TAK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D957EA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D957EA">
            <w:pPr>
              <w:pStyle w:val="Akapitzlist"/>
              <w:widowControl w:val="0"/>
              <w:numPr>
                <w:ilvl w:val="0"/>
                <w:numId w:val="19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D957EA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Waga do 2,3 kg.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D957E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  <w:lang w:eastAsia="zh-CN"/>
              </w:rPr>
              <w:t>TAK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D957EA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7A47C8" w:rsidRDefault="005256AF" w:rsidP="007A47C8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A47C8">
              <w:rPr>
                <w:rFonts w:asciiTheme="minorHAnsi" w:hAnsiTheme="minorHAnsi" w:cstheme="minorHAnsi"/>
                <w:b/>
                <w:sz w:val="22"/>
                <w:szCs w:val="22"/>
              </w:rPr>
              <w:t>C.</w:t>
            </w: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D957E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Pompy objętościowe (6 </w:t>
            </w:r>
            <w:proofErr w:type="spellStart"/>
            <w:r w:rsidRPr="00A755E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szt</w:t>
            </w:r>
            <w:proofErr w:type="spellEnd"/>
            <w:r w:rsidRPr="00A755EB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)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D957EA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D957EA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7A47C8">
            <w:pPr>
              <w:pStyle w:val="Akapitzlist"/>
              <w:widowControl w:val="0"/>
              <w:numPr>
                <w:ilvl w:val="0"/>
                <w:numId w:val="25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7A47C8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Możliwość stosowania zestawów infuzyjnych do podaży:</w:t>
            </w:r>
          </w:p>
          <w:p w:rsidR="005256AF" w:rsidRPr="00A755EB" w:rsidRDefault="005256AF" w:rsidP="007A47C8">
            <w:pPr>
              <w:numPr>
                <w:ilvl w:val="0"/>
                <w:numId w:val="26"/>
              </w:numPr>
              <w:snapToGrid w:val="0"/>
              <w:ind w:left="358" w:hanging="284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gram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leków</w:t>
            </w:r>
            <w:proofErr w:type="gram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standardowych, płynów infuzyjnych i </w:t>
            </w:r>
            <w:proofErr w:type="spell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cytostatyków</w:t>
            </w:r>
            <w:proofErr w:type="spell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(zestawy nie zawierające </w:t>
            </w:r>
            <w:proofErr w:type="spell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ftalanów</w:t>
            </w:r>
            <w:proofErr w:type="spell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(DEHP-</w:t>
            </w:r>
            <w:proofErr w:type="spell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free</w:t>
            </w:r>
            <w:proofErr w:type="spell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) oraz lateksu),</w:t>
            </w:r>
          </w:p>
          <w:p w:rsidR="005256AF" w:rsidRPr="00A755EB" w:rsidRDefault="005256AF" w:rsidP="007A47C8">
            <w:pPr>
              <w:numPr>
                <w:ilvl w:val="0"/>
                <w:numId w:val="26"/>
              </w:numPr>
              <w:snapToGrid w:val="0"/>
              <w:ind w:left="358" w:hanging="284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gram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żywienia</w:t>
            </w:r>
            <w:proofErr w:type="gram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pozajelitowego i żywienia dojelitowego,</w:t>
            </w:r>
          </w:p>
          <w:p w:rsidR="005256AF" w:rsidRPr="00A755EB" w:rsidRDefault="005256AF" w:rsidP="007A47C8">
            <w:pPr>
              <w:numPr>
                <w:ilvl w:val="0"/>
                <w:numId w:val="26"/>
              </w:numPr>
              <w:snapToGrid w:val="0"/>
              <w:ind w:left="358" w:hanging="284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gram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leków</w:t>
            </w:r>
            <w:proofErr w:type="gram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światłoczułych,</w:t>
            </w:r>
          </w:p>
          <w:p w:rsidR="005256AF" w:rsidRPr="00A755EB" w:rsidRDefault="005256AF" w:rsidP="007A47C8">
            <w:pPr>
              <w:numPr>
                <w:ilvl w:val="0"/>
                <w:numId w:val="26"/>
              </w:numPr>
              <w:snapToGrid w:val="0"/>
              <w:ind w:left="358" w:hanging="284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krwi</w:t>
            </w:r>
            <w:proofErr w:type="gramEnd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 xml:space="preserve"> i preparatów krwiopochodnych.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Default="005256AF" w:rsidP="00E210AF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C45EA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:rsidR="005256AF" w:rsidRPr="003C1EDB" w:rsidRDefault="005256AF" w:rsidP="007A47C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7A47C8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7A47C8">
            <w:pPr>
              <w:pStyle w:val="Akapitzlist"/>
              <w:widowControl w:val="0"/>
              <w:numPr>
                <w:ilvl w:val="0"/>
                <w:numId w:val="25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7A47C8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Klawiatura symboliczna i fizyczna (</w:t>
            </w:r>
            <w:proofErr w:type="gramStart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nie wyświetlana</w:t>
            </w:r>
            <w:proofErr w:type="gramEnd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 xml:space="preserve"> na ekranie) klawiatura alfanumeryczna umożliwiająca szybkie i intuicyjne programowanie infuzji oraz obsługę pompy.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Default="005256AF" w:rsidP="00E210AF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C45EA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:rsidR="005256AF" w:rsidRPr="003C1EDB" w:rsidRDefault="005256AF" w:rsidP="007A47C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7A47C8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7A47C8">
            <w:pPr>
              <w:pStyle w:val="Akapitzlist"/>
              <w:widowControl w:val="0"/>
              <w:numPr>
                <w:ilvl w:val="0"/>
                <w:numId w:val="25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7A47C8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 xml:space="preserve">Mechanizm zabezpieczający przed swobodnym przepływem grawitacyjnym składający się z dwóch elementów – jeden w pompie i </w:t>
            </w:r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drugi </w:t>
            </w: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na zestawie infuzyjnym.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Default="005256AF" w:rsidP="00E210AF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C45EA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:rsidR="005256AF" w:rsidRPr="003C1EDB" w:rsidRDefault="005256AF" w:rsidP="007A47C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7A47C8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7A47C8">
            <w:pPr>
              <w:pStyle w:val="Akapitzlist"/>
              <w:widowControl w:val="0"/>
              <w:numPr>
                <w:ilvl w:val="0"/>
                <w:numId w:val="25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7A47C8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Możliwość odłączania detektora kropli.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Default="005256AF" w:rsidP="00E210AF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C45EA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:rsidR="005256AF" w:rsidRPr="003C1EDB" w:rsidRDefault="005256AF" w:rsidP="007A47C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7A47C8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7A47C8">
            <w:pPr>
              <w:pStyle w:val="Akapitzlist"/>
              <w:widowControl w:val="0"/>
              <w:numPr>
                <w:ilvl w:val="0"/>
                <w:numId w:val="25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7A47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Możliwość usunięcia zestawu infuzyjnego z pompy w trybie </w:t>
            </w:r>
            <w:proofErr w:type="gram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wyłączonym  z</w:t>
            </w:r>
            <w:proofErr w:type="gram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podłączonym i odłączonym zasilaniem zewnętrznym.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Default="005256AF" w:rsidP="00E210AF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C45EA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:rsidR="005256AF" w:rsidRPr="003C1EDB" w:rsidRDefault="005256AF" w:rsidP="007A47C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7A47C8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7A47C8">
            <w:pPr>
              <w:pStyle w:val="Akapitzlist"/>
              <w:widowControl w:val="0"/>
              <w:numPr>
                <w:ilvl w:val="0"/>
                <w:numId w:val="25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7A47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Wykrywanie powietrza w zestawie infuzyjnym.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Default="005256AF" w:rsidP="00E210AF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C45EA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:rsidR="005256AF" w:rsidRPr="003C1EDB" w:rsidRDefault="005256AF" w:rsidP="007A47C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7A47C8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7A47C8">
            <w:pPr>
              <w:pStyle w:val="Akapitzlist"/>
              <w:widowControl w:val="0"/>
              <w:numPr>
                <w:ilvl w:val="0"/>
                <w:numId w:val="25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7A47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Kolorowy ekran pompy.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Default="005256AF" w:rsidP="00E210AF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C45EA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:rsidR="005256AF" w:rsidRPr="003C1EDB" w:rsidRDefault="005256AF" w:rsidP="007A47C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7A47C8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7A47C8">
            <w:pPr>
              <w:pStyle w:val="Akapitzlist"/>
              <w:widowControl w:val="0"/>
              <w:numPr>
                <w:ilvl w:val="0"/>
                <w:numId w:val="25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7A47C8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Ekran dotykowy pompy, przyspieszający wybór parametrów.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Default="005256AF" w:rsidP="00E210AF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C45EA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:rsidR="005256AF" w:rsidRPr="003C1EDB" w:rsidRDefault="005256AF" w:rsidP="007A47C8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7A47C8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6C7CDC">
            <w:pPr>
              <w:pStyle w:val="Akapitzlist"/>
              <w:widowControl w:val="0"/>
              <w:numPr>
                <w:ilvl w:val="0"/>
                <w:numId w:val="25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6C7CDC">
            <w:pPr>
              <w:snapToGrid w:val="0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Wszystkie komunikaty w pompie w języku polskim.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Default="005256AF" w:rsidP="00E210AF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C45EA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:rsidR="005256AF" w:rsidRPr="003C1EDB" w:rsidRDefault="005256AF" w:rsidP="006C7CDC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6C7CDC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6C7CDC">
            <w:pPr>
              <w:pStyle w:val="Akapitzlist"/>
              <w:widowControl w:val="0"/>
              <w:numPr>
                <w:ilvl w:val="0"/>
                <w:numId w:val="25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6C7CDC">
            <w:pPr>
              <w:snapToGri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Przekątna ekranu 3,2 cala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Default="005256AF" w:rsidP="00E210AF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C45EA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:rsidR="005256AF" w:rsidRPr="003C1EDB" w:rsidRDefault="005256AF" w:rsidP="006C7CDC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6C7CDC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6C7CDC">
            <w:pPr>
              <w:pStyle w:val="Akapitzlist"/>
              <w:widowControl w:val="0"/>
              <w:numPr>
                <w:ilvl w:val="0"/>
                <w:numId w:val="25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6C7CDC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Zakres szybkości dozowania min. 0,1 – 1200 ml/h.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Default="005256AF" w:rsidP="00E210AF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C45EA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:rsidR="005256AF" w:rsidRPr="003C1EDB" w:rsidRDefault="005256AF" w:rsidP="006C7CDC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6C7CDC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6C7CDC">
            <w:pPr>
              <w:pStyle w:val="Akapitzlist"/>
              <w:widowControl w:val="0"/>
              <w:numPr>
                <w:ilvl w:val="0"/>
                <w:numId w:val="25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6C7CDC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 xml:space="preserve">Dokładność infuzji </w:t>
            </w:r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±</w:t>
            </w:r>
            <w:r w:rsidRPr="00A755EB">
              <w:rPr>
                <w:rFonts w:asciiTheme="minorHAnsi" w:hAnsiTheme="minorHAnsi" w:cstheme="minorHAnsi"/>
                <w:color w:val="FF0000"/>
                <w:sz w:val="22"/>
                <w:szCs w:val="22"/>
              </w:rPr>
              <w:t xml:space="preserve"> </w:t>
            </w: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5%.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Default="005256AF" w:rsidP="00E210AF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C45EA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:rsidR="005256AF" w:rsidRPr="003C1EDB" w:rsidRDefault="005256AF" w:rsidP="006C7CDC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6C7CDC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6C7CDC">
            <w:pPr>
              <w:pStyle w:val="Akapitzlist"/>
              <w:widowControl w:val="0"/>
              <w:numPr>
                <w:ilvl w:val="0"/>
                <w:numId w:val="25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6C7CDC">
            <w:pPr>
              <w:snapToGri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Programowanie parametrów infuzji w jednostkach:</w:t>
            </w:r>
          </w:p>
          <w:p w:rsidR="005256AF" w:rsidRPr="00A755EB" w:rsidRDefault="005256AF" w:rsidP="006C7CDC">
            <w:pPr>
              <w:numPr>
                <w:ilvl w:val="0"/>
                <w:numId w:val="18"/>
              </w:numPr>
              <w:ind w:left="383" w:hanging="284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gram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ml</w:t>
            </w:r>
            <w:proofErr w:type="gram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 L,</w:t>
            </w:r>
          </w:p>
          <w:p w:rsidR="005256AF" w:rsidRPr="00A755EB" w:rsidRDefault="005256AF" w:rsidP="006C7CDC">
            <w:pPr>
              <w:numPr>
                <w:ilvl w:val="0"/>
                <w:numId w:val="18"/>
              </w:numPr>
              <w:ind w:left="383" w:hanging="284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ng</w:t>
            </w:r>
            <w:proofErr w:type="spellEnd"/>
            <w:proofErr w:type="gram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μg</w:t>
            </w:r>
            <w:proofErr w:type="spell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 mg, g,</w:t>
            </w:r>
          </w:p>
          <w:p w:rsidR="005256AF" w:rsidRPr="00A755EB" w:rsidRDefault="005256AF" w:rsidP="006C7CDC">
            <w:pPr>
              <w:numPr>
                <w:ilvl w:val="0"/>
                <w:numId w:val="18"/>
              </w:numPr>
              <w:ind w:left="383" w:hanging="284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μEq</w:t>
            </w:r>
            <w:proofErr w:type="spell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mEq</w:t>
            </w:r>
            <w:proofErr w:type="spell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, </w:t>
            </w:r>
            <w:proofErr w:type="spell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Eq</w:t>
            </w:r>
            <w:proofErr w:type="spell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</w:t>
            </w:r>
          </w:p>
          <w:p w:rsidR="005256AF" w:rsidRPr="00A755EB" w:rsidRDefault="005256AF" w:rsidP="006C7CDC">
            <w:pPr>
              <w:numPr>
                <w:ilvl w:val="0"/>
                <w:numId w:val="18"/>
              </w:numPr>
              <w:ind w:left="383" w:hanging="284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mlU</w:t>
            </w:r>
            <w:proofErr w:type="spellEnd"/>
            <w:proofErr w:type="gram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, IU, </w:t>
            </w:r>
            <w:proofErr w:type="spell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kIU</w:t>
            </w:r>
            <w:proofErr w:type="spell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</w:t>
            </w:r>
          </w:p>
          <w:p w:rsidR="005256AF" w:rsidRPr="00A755EB" w:rsidRDefault="005256AF" w:rsidP="006C7CDC">
            <w:pPr>
              <w:numPr>
                <w:ilvl w:val="0"/>
                <w:numId w:val="18"/>
              </w:numPr>
              <w:ind w:left="383" w:hanging="284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mIE</w:t>
            </w:r>
            <w:proofErr w:type="spellEnd"/>
            <w:proofErr w:type="gram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, IE, </w:t>
            </w:r>
            <w:proofErr w:type="spell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kIE</w:t>
            </w:r>
            <w:proofErr w:type="spell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</w:t>
            </w:r>
          </w:p>
          <w:p w:rsidR="005256AF" w:rsidRPr="00A755EB" w:rsidRDefault="005256AF" w:rsidP="006C7CDC">
            <w:pPr>
              <w:numPr>
                <w:ilvl w:val="0"/>
                <w:numId w:val="18"/>
              </w:numPr>
              <w:ind w:left="383" w:hanging="284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gram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cal</w:t>
            </w:r>
            <w:proofErr w:type="gram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 kcal,</w:t>
            </w:r>
          </w:p>
          <w:p w:rsidR="005256AF" w:rsidRPr="00A755EB" w:rsidRDefault="005256AF" w:rsidP="006C7CDC">
            <w:pPr>
              <w:numPr>
                <w:ilvl w:val="0"/>
                <w:numId w:val="18"/>
              </w:numPr>
              <w:ind w:left="383" w:hanging="284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J, </w:t>
            </w:r>
            <w:proofErr w:type="spell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kJ</w:t>
            </w:r>
            <w:proofErr w:type="spell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</w:t>
            </w:r>
          </w:p>
          <w:p w:rsidR="005256AF" w:rsidRPr="00A755EB" w:rsidRDefault="005256AF" w:rsidP="006C7CDC">
            <w:pPr>
              <w:numPr>
                <w:ilvl w:val="0"/>
                <w:numId w:val="18"/>
              </w:numPr>
              <w:spacing w:after="60"/>
              <w:ind w:left="380" w:hanging="284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mmol</w:t>
            </w:r>
            <w:proofErr w:type="spellEnd"/>
            <w:proofErr w:type="gram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, mol, </w:t>
            </w:r>
          </w:p>
          <w:p w:rsidR="005256AF" w:rsidRPr="00A755EB" w:rsidRDefault="005256AF" w:rsidP="006C7CDC">
            <w:pPr>
              <w:ind w:left="99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gram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</w:t>
            </w:r>
            <w:proofErr w:type="gram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uwzględnieniem wagi pacjenta lub nie,</w:t>
            </w:r>
          </w:p>
          <w:p w:rsidR="005256AF" w:rsidRPr="006C7CDC" w:rsidRDefault="005256AF" w:rsidP="006C7CDC">
            <w:pPr>
              <w:ind w:left="99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gram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</w:t>
            </w:r>
            <w:proofErr w:type="gram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uwzględnieniem powierzchni pacjenta lub nie, na min, godz., dobę.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Default="005256AF" w:rsidP="00E210AF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C45EA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:rsidR="005256AF" w:rsidRPr="003C1EDB" w:rsidRDefault="005256AF" w:rsidP="006C7CDC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6C7CDC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6C7CDC">
            <w:pPr>
              <w:pStyle w:val="Akapitzlist"/>
              <w:widowControl w:val="0"/>
              <w:numPr>
                <w:ilvl w:val="0"/>
                <w:numId w:val="25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6C7CDC">
            <w:pPr>
              <w:snapToGri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Tryby dozowania:</w:t>
            </w:r>
          </w:p>
          <w:p w:rsidR="005256AF" w:rsidRPr="00A755EB" w:rsidRDefault="005256AF" w:rsidP="006C7CDC">
            <w:pPr>
              <w:numPr>
                <w:ilvl w:val="0"/>
                <w:numId w:val="27"/>
              </w:numPr>
              <w:snapToGrid w:val="0"/>
              <w:ind w:hanging="261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Infuzja ciągła,</w:t>
            </w:r>
          </w:p>
          <w:p w:rsidR="005256AF" w:rsidRPr="00A755EB" w:rsidRDefault="005256AF" w:rsidP="006C7CDC">
            <w:pPr>
              <w:numPr>
                <w:ilvl w:val="0"/>
                <w:numId w:val="27"/>
              </w:numPr>
              <w:snapToGrid w:val="0"/>
              <w:ind w:hanging="261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Infuzja okresowa (bolusowa),</w:t>
            </w:r>
          </w:p>
          <w:p w:rsidR="005256AF" w:rsidRPr="00A755EB" w:rsidRDefault="005256AF" w:rsidP="006C7CDC">
            <w:pPr>
              <w:numPr>
                <w:ilvl w:val="0"/>
                <w:numId w:val="27"/>
              </w:numPr>
              <w:snapToGrid w:val="0"/>
              <w:ind w:hanging="261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Infuzja profilowa (24 kroki infuzji),</w:t>
            </w:r>
          </w:p>
          <w:p w:rsidR="005256AF" w:rsidRPr="00A755EB" w:rsidRDefault="005256AF" w:rsidP="006C7CDC">
            <w:pPr>
              <w:numPr>
                <w:ilvl w:val="0"/>
                <w:numId w:val="27"/>
              </w:numPr>
              <w:snapToGrid w:val="0"/>
              <w:ind w:hanging="261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Infuzja TPN (narastanie / utrzymanie / opadanie).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Default="005256AF" w:rsidP="00E210AF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C45EA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:rsidR="005256AF" w:rsidRPr="003C1EDB" w:rsidRDefault="005256AF" w:rsidP="006C7CDC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6C7CDC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6C7CDC">
            <w:pPr>
              <w:pStyle w:val="Akapitzlist"/>
              <w:widowControl w:val="0"/>
              <w:numPr>
                <w:ilvl w:val="0"/>
                <w:numId w:val="25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6C7CDC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 xml:space="preserve">Czytelny, kolorowy wyświetlacz z możliwością wyświetlenia następujących informacji jednocześnie: </w:t>
            </w:r>
          </w:p>
          <w:p w:rsidR="005256AF" w:rsidRPr="00A755EB" w:rsidRDefault="005256AF" w:rsidP="006C7CDC">
            <w:pPr>
              <w:numPr>
                <w:ilvl w:val="0"/>
                <w:numId w:val="28"/>
              </w:numPr>
              <w:suppressAutoHyphens w:val="0"/>
              <w:ind w:left="358" w:hanging="284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gram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nazwa</w:t>
            </w:r>
            <w:proofErr w:type="gram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leku,</w:t>
            </w:r>
          </w:p>
          <w:p w:rsidR="005256AF" w:rsidRPr="00A755EB" w:rsidRDefault="005256AF" w:rsidP="006C7CDC">
            <w:pPr>
              <w:numPr>
                <w:ilvl w:val="0"/>
                <w:numId w:val="28"/>
              </w:numPr>
              <w:suppressAutoHyphens w:val="0"/>
              <w:ind w:left="358" w:hanging="284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gram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koncentracja</w:t>
            </w:r>
            <w:proofErr w:type="gram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leku,</w:t>
            </w:r>
          </w:p>
          <w:p w:rsidR="005256AF" w:rsidRPr="00A755EB" w:rsidRDefault="005256AF" w:rsidP="006C7CDC">
            <w:pPr>
              <w:numPr>
                <w:ilvl w:val="0"/>
                <w:numId w:val="28"/>
              </w:numPr>
              <w:suppressAutoHyphens w:val="0"/>
              <w:ind w:left="358" w:hanging="284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gram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szybkość</w:t>
            </w:r>
            <w:proofErr w:type="gram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infuzji,</w:t>
            </w:r>
          </w:p>
          <w:p w:rsidR="005256AF" w:rsidRPr="00A755EB" w:rsidRDefault="005256AF" w:rsidP="006C7CDC">
            <w:pPr>
              <w:numPr>
                <w:ilvl w:val="0"/>
                <w:numId w:val="28"/>
              </w:numPr>
              <w:suppressAutoHyphens w:val="0"/>
              <w:ind w:left="358" w:hanging="284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gram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informacji</w:t>
            </w:r>
            <w:proofErr w:type="gram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, że wartość szybkości infuzji mieści się w zalecanym zakresie lub znajduje się w zakresie limitu miękkiego dolnego lub górnego,</w:t>
            </w:r>
          </w:p>
          <w:p w:rsidR="005256AF" w:rsidRPr="00A755EB" w:rsidRDefault="005256AF" w:rsidP="006C7CDC">
            <w:pPr>
              <w:numPr>
                <w:ilvl w:val="0"/>
                <w:numId w:val="28"/>
              </w:numPr>
              <w:suppressAutoHyphens w:val="0"/>
              <w:ind w:left="358" w:hanging="284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gram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podana</w:t>
            </w:r>
            <w:proofErr w:type="gram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dawka,</w:t>
            </w:r>
          </w:p>
          <w:p w:rsidR="005256AF" w:rsidRPr="00A755EB" w:rsidRDefault="005256AF" w:rsidP="006C7CDC">
            <w:pPr>
              <w:numPr>
                <w:ilvl w:val="0"/>
                <w:numId w:val="28"/>
              </w:numPr>
              <w:suppressAutoHyphens w:val="0"/>
              <w:ind w:left="358" w:hanging="284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gram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poziom</w:t>
            </w:r>
            <w:proofErr w:type="gram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limitów dla szybkości infuzji,</w:t>
            </w:r>
          </w:p>
          <w:p w:rsidR="005256AF" w:rsidRPr="00A755EB" w:rsidRDefault="005256AF" w:rsidP="006C7CDC">
            <w:pPr>
              <w:numPr>
                <w:ilvl w:val="0"/>
                <w:numId w:val="28"/>
              </w:numPr>
              <w:suppressAutoHyphens w:val="0"/>
              <w:ind w:left="358" w:hanging="284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gram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czas</w:t>
            </w:r>
            <w:proofErr w:type="gram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do końca dawki w formie graficznej,</w:t>
            </w:r>
          </w:p>
          <w:p w:rsidR="005256AF" w:rsidRPr="00A755EB" w:rsidRDefault="005256AF" w:rsidP="006C7CDC">
            <w:pPr>
              <w:numPr>
                <w:ilvl w:val="0"/>
                <w:numId w:val="28"/>
              </w:numPr>
              <w:suppressAutoHyphens w:val="0"/>
              <w:ind w:left="358" w:hanging="284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gram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kategorii</w:t>
            </w:r>
            <w:proofErr w:type="gram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leku wyodrębnionej kolorem,</w:t>
            </w:r>
          </w:p>
          <w:p w:rsidR="005256AF" w:rsidRPr="00A755EB" w:rsidRDefault="005256AF" w:rsidP="006C7CDC">
            <w:pPr>
              <w:numPr>
                <w:ilvl w:val="0"/>
                <w:numId w:val="28"/>
              </w:numPr>
              <w:suppressAutoHyphens w:val="0"/>
              <w:ind w:left="358" w:hanging="284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proofErr w:type="gram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stan</w:t>
            </w:r>
            <w:proofErr w:type="gram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naładowania akumulatora,</w:t>
            </w:r>
          </w:p>
          <w:p w:rsidR="005256AF" w:rsidRPr="00A755EB" w:rsidRDefault="005256AF" w:rsidP="006C7CDC">
            <w:pPr>
              <w:numPr>
                <w:ilvl w:val="0"/>
                <w:numId w:val="28"/>
              </w:numPr>
              <w:snapToGrid w:val="0"/>
              <w:ind w:left="358" w:hanging="284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aktualne</w:t>
            </w:r>
            <w:proofErr w:type="gram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ciśnienie w linii pacjenta w formie graficznej.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Default="005256AF" w:rsidP="00E210AF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C45EA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:rsidR="005256AF" w:rsidRPr="003C1EDB" w:rsidRDefault="005256AF" w:rsidP="006C7CDC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6C7CDC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6C7CDC">
            <w:pPr>
              <w:pStyle w:val="Akapitzlist"/>
              <w:widowControl w:val="0"/>
              <w:numPr>
                <w:ilvl w:val="0"/>
                <w:numId w:val="25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6C7CDC">
            <w:pPr>
              <w:snapToGrid w:val="0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>Kolorystyczne wyróżnienie ekranu infuzji do żywienia dojelitowego względem innych realizowanych infuzji.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Default="005256AF" w:rsidP="00E210AF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C45EA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:rsidR="005256AF" w:rsidRPr="003C1EDB" w:rsidRDefault="005256AF" w:rsidP="006C7CDC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6C7CDC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6C7CDC">
            <w:pPr>
              <w:pStyle w:val="Akapitzlist"/>
              <w:widowControl w:val="0"/>
              <w:numPr>
                <w:ilvl w:val="0"/>
                <w:numId w:val="25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6C7CDC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Programowanie parametrów podaży bolusa oraz bolusa wstępnego (dawki indukcyjnej):</w:t>
            </w:r>
          </w:p>
          <w:p w:rsidR="005256AF" w:rsidRPr="00A755EB" w:rsidRDefault="005256AF" w:rsidP="006C7CDC">
            <w:pPr>
              <w:numPr>
                <w:ilvl w:val="0"/>
                <w:numId w:val="29"/>
              </w:numPr>
              <w:snapToGrid w:val="0"/>
              <w:ind w:hanging="261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objętość</w:t>
            </w:r>
            <w:proofErr w:type="gramEnd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 xml:space="preserve"> / dawka,</w:t>
            </w:r>
          </w:p>
          <w:p w:rsidR="005256AF" w:rsidRPr="00A755EB" w:rsidRDefault="005256AF" w:rsidP="006C7CDC">
            <w:pPr>
              <w:numPr>
                <w:ilvl w:val="0"/>
                <w:numId w:val="29"/>
              </w:numPr>
              <w:snapToGrid w:val="0"/>
              <w:ind w:hanging="261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czas</w:t>
            </w:r>
            <w:proofErr w:type="gramEnd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 xml:space="preserve"> lub szybkość podaży.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Default="005256AF" w:rsidP="00E210AF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C45EA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:rsidR="005256AF" w:rsidRPr="003C1EDB" w:rsidRDefault="005256AF" w:rsidP="006C7CDC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6C7CDC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6C7CDC">
            <w:pPr>
              <w:pStyle w:val="Akapitzlist"/>
              <w:widowControl w:val="0"/>
              <w:numPr>
                <w:ilvl w:val="0"/>
                <w:numId w:val="25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6C7CDC">
            <w:pPr>
              <w:snapToGri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Bolus manualny. Bolus automatyczny z zaprogramowaną dawką.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Default="005256AF" w:rsidP="00E210AF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C45EA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:rsidR="005256AF" w:rsidRPr="003C1EDB" w:rsidRDefault="005256AF" w:rsidP="006C7CDC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6C7CDC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6C7CDC">
            <w:pPr>
              <w:pStyle w:val="Akapitzlist"/>
              <w:widowControl w:val="0"/>
              <w:numPr>
                <w:ilvl w:val="0"/>
                <w:numId w:val="25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6C7CDC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Automatyczne zmniejszenie szybkości podaży bolusa, w celu uniknięcia przerwania jego podaży alarmem okluzji.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Default="005256AF" w:rsidP="00E210AF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C45EA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:rsidR="005256AF" w:rsidRPr="003C1EDB" w:rsidRDefault="005256AF" w:rsidP="006C7CDC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6C7CDC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6C7CDC">
            <w:pPr>
              <w:pStyle w:val="Akapitzlist"/>
              <w:widowControl w:val="0"/>
              <w:numPr>
                <w:ilvl w:val="0"/>
                <w:numId w:val="25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6C7CDC">
            <w:pPr>
              <w:snapToGri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Możliwość wgrania do pompy biblioteki leków złożonej z procedur dozowania </w:t>
            </w:r>
            <w:proofErr w:type="gramStart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zawierających co</w:t>
            </w:r>
            <w:proofErr w:type="gramEnd"/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najmniej:</w:t>
            </w:r>
          </w:p>
          <w:p w:rsidR="005256AF" w:rsidRPr="00A755EB" w:rsidRDefault="005256AF" w:rsidP="006C7CDC">
            <w:pPr>
              <w:numPr>
                <w:ilvl w:val="0"/>
                <w:numId w:val="22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nazwy</w:t>
            </w:r>
            <w:proofErr w:type="gramEnd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 xml:space="preserve"> leku,</w:t>
            </w:r>
          </w:p>
          <w:p w:rsidR="005256AF" w:rsidRPr="00A755EB" w:rsidRDefault="005256AF" w:rsidP="006C7CDC">
            <w:pPr>
              <w:numPr>
                <w:ilvl w:val="0"/>
                <w:numId w:val="22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10 koncentracji leku,</w:t>
            </w:r>
          </w:p>
          <w:p w:rsidR="005256AF" w:rsidRPr="00A755EB" w:rsidRDefault="005256AF" w:rsidP="006C7CDC">
            <w:pPr>
              <w:numPr>
                <w:ilvl w:val="0"/>
                <w:numId w:val="22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szybkości</w:t>
            </w:r>
            <w:proofErr w:type="gramEnd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 xml:space="preserve"> dozowania (dawkowanie),</w:t>
            </w:r>
          </w:p>
          <w:p w:rsidR="005256AF" w:rsidRPr="00A755EB" w:rsidRDefault="005256AF" w:rsidP="006C7CDC">
            <w:pPr>
              <w:numPr>
                <w:ilvl w:val="0"/>
                <w:numId w:val="22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całkowitej</w:t>
            </w:r>
            <w:proofErr w:type="gramEnd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 xml:space="preserve"> objętości (dawki) infuzji,</w:t>
            </w:r>
          </w:p>
          <w:p w:rsidR="005256AF" w:rsidRPr="00A755EB" w:rsidRDefault="005256AF" w:rsidP="006C7CDC">
            <w:pPr>
              <w:numPr>
                <w:ilvl w:val="0"/>
                <w:numId w:val="22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parametrów</w:t>
            </w:r>
            <w:proofErr w:type="gramEnd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 xml:space="preserve"> bolusa, oraz dawki indukcyjnej,</w:t>
            </w:r>
          </w:p>
          <w:p w:rsidR="005256AF" w:rsidRPr="00A755EB" w:rsidRDefault="005256AF" w:rsidP="006C7CDC">
            <w:pPr>
              <w:numPr>
                <w:ilvl w:val="0"/>
                <w:numId w:val="22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limitów</w:t>
            </w:r>
            <w:proofErr w:type="gramEnd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 xml:space="preserve"> dla wymienionych parametrów infuzji:</w:t>
            </w:r>
          </w:p>
          <w:p w:rsidR="005256AF" w:rsidRPr="00A755EB" w:rsidRDefault="005256AF" w:rsidP="006C7CDC">
            <w:pPr>
              <w:numPr>
                <w:ilvl w:val="1"/>
                <w:numId w:val="22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miękkich</w:t>
            </w:r>
            <w:proofErr w:type="gramEnd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 xml:space="preserve">, ostrzegających o przekroczeniu zalecanych wartości parametrów, </w:t>
            </w:r>
          </w:p>
          <w:p w:rsidR="005256AF" w:rsidRPr="00A755EB" w:rsidRDefault="005256AF" w:rsidP="006C7CDC">
            <w:pPr>
              <w:numPr>
                <w:ilvl w:val="1"/>
                <w:numId w:val="22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twardych</w:t>
            </w:r>
            <w:proofErr w:type="gramEnd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 xml:space="preserve"> – blokujących możliwość wprowadzenia wartości spoza ich zakresu.</w:t>
            </w:r>
          </w:p>
          <w:p w:rsidR="005256AF" w:rsidRPr="00A755EB" w:rsidRDefault="005256AF" w:rsidP="006C7CDC">
            <w:pPr>
              <w:numPr>
                <w:ilvl w:val="0"/>
                <w:numId w:val="22"/>
              </w:num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Notatki doradczej możliwej do odczytania przed rozpoczęciem infuzji.</w:t>
            </w:r>
          </w:p>
          <w:p w:rsidR="005256AF" w:rsidRPr="00A755EB" w:rsidRDefault="005256AF" w:rsidP="006C7CDC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Podział biblioteki na osobne grupy dedykowane poszczególnym oddziałom szpitalnym, do 40 oddziałów. Wybór oddziału dostępny w pompie.</w:t>
            </w:r>
          </w:p>
          <w:p w:rsidR="005256AF" w:rsidRPr="00A755EB" w:rsidRDefault="005256AF" w:rsidP="006C7CDC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Podział biblioteki dedykowanej oddziałom na 40 kategorii lekowych.</w:t>
            </w:r>
          </w:p>
          <w:p w:rsidR="005256AF" w:rsidRPr="00A755EB" w:rsidRDefault="005256AF" w:rsidP="006C7CDC">
            <w:pPr>
              <w:numPr>
                <w:ilvl w:val="0"/>
                <w:numId w:val="30"/>
              </w:numPr>
              <w:snapToGrid w:val="0"/>
              <w:ind w:left="358" w:hanging="284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 xml:space="preserve">Pojemność biblioteki min. </w:t>
            </w:r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4000</w:t>
            </w: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 xml:space="preserve"> procedur dozowania leków.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Default="005256AF" w:rsidP="00E210AF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C45EA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TAK</w:t>
            </w:r>
          </w:p>
          <w:p w:rsidR="005256AF" w:rsidRPr="003C1EDB" w:rsidRDefault="005256AF" w:rsidP="006C7CDC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6C7CDC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6C7CDC">
            <w:pPr>
              <w:pStyle w:val="Akapitzlist"/>
              <w:widowControl w:val="0"/>
              <w:numPr>
                <w:ilvl w:val="0"/>
                <w:numId w:val="25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256AF" w:rsidRPr="00A755EB" w:rsidRDefault="005256AF" w:rsidP="006C7CDC">
            <w:pPr>
              <w:tabs>
                <w:tab w:val="left" w:pos="360"/>
              </w:tabs>
              <w:snapToGri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Zabezpieczenie przed gwałtowną zmianą szybkości w trakcie trwania infuzji (miareczkowanie).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Default="005256AF" w:rsidP="00E210AF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C45EA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:rsidR="005256AF" w:rsidRPr="003C1EDB" w:rsidRDefault="005256AF" w:rsidP="006C7CDC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6C7CDC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6C7CDC">
            <w:pPr>
              <w:pStyle w:val="Akapitzlist"/>
              <w:widowControl w:val="0"/>
              <w:numPr>
                <w:ilvl w:val="0"/>
                <w:numId w:val="25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6C7CDC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Napisy na wyświetlaczu w języku polskim.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Default="005256AF" w:rsidP="00E210AF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C45EA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:rsidR="005256AF" w:rsidRPr="003C1EDB" w:rsidRDefault="005256AF" w:rsidP="006C7CDC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6C7CDC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6C7CDC">
            <w:pPr>
              <w:pStyle w:val="Akapitzlist"/>
              <w:widowControl w:val="0"/>
              <w:numPr>
                <w:ilvl w:val="0"/>
                <w:numId w:val="25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6C7CDC">
            <w:pPr>
              <w:snapToGrid w:val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bCs/>
                <w:sz w:val="22"/>
                <w:szCs w:val="22"/>
              </w:rPr>
              <w:t>Regulowane progi ciśnienia okluzji, 12 poziomów.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Default="005256AF" w:rsidP="00E210AF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C45EA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:rsidR="005256AF" w:rsidRPr="003C1EDB" w:rsidRDefault="005256AF" w:rsidP="006C7CDC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6C7CDC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6C7CDC">
            <w:pPr>
              <w:pStyle w:val="Akapitzlist"/>
              <w:widowControl w:val="0"/>
              <w:numPr>
                <w:ilvl w:val="0"/>
                <w:numId w:val="25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6C7CDC">
            <w:pPr>
              <w:snapToGrid w:val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bCs/>
                <w:sz w:val="22"/>
                <w:szCs w:val="22"/>
              </w:rPr>
              <w:t>Progi ciśnienia regulowane, w zakresie 75 - 900 mmHg.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Default="005256AF" w:rsidP="00E210AF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C45EA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:rsidR="005256AF" w:rsidRPr="003C1EDB" w:rsidRDefault="005256AF" w:rsidP="006C7CDC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6C7CDC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6C7CDC">
            <w:pPr>
              <w:pStyle w:val="Akapitzlist"/>
              <w:widowControl w:val="0"/>
              <w:numPr>
                <w:ilvl w:val="0"/>
                <w:numId w:val="25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6C7CDC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Zmiana progu ciśnienia okluzji bez przerywania infuzji.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Default="005256AF" w:rsidP="00E210AF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C45EA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:rsidR="005256AF" w:rsidRPr="003C1EDB" w:rsidRDefault="005256AF" w:rsidP="006C7CDC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6C7CDC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6C7CDC">
            <w:pPr>
              <w:pStyle w:val="Akapitzlist"/>
              <w:widowControl w:val="0"/>
              <w:numPr>
                <w:ilvl w:val="0"/>
                <w:numId w:val="25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6C7CDC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 xml:space="preserve">Automatyczna redukcja bolusa </w:t>
            </w:r>
            <w:proofErr w:type="spellStart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okluzyjnego</w:t>
            </w:r>
            <w:proofErr w:type="spellEnd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Default="005256AF" w:rsidP="00E210AF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C45EA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:rsidR="005256AF" w:rsidRPr="003C1EDB" w:rsidRDefault="005256AF" w:rsidP="006C7CDC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6C7CDC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6C7CDC">
            <w:pPr>
              <w:pStyle w:val="Akapitzlist"/>
              <w:widowControl w:val="0"/>
              <w:numPr>
                <w:ilvl w:val="0"/>
                <w:numId w:val="25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6C7CDC">
            <w:pPr>
              <w:tabs>
                <w:tab w:val="left" w:pos="1428"/>
              </w:tabs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Priorytetowy system alarmów, zapewniający zróżnicowany sygnał dźwiękowy i świetlny, zależnie od stopnia zagrożenia.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Default="005256AF" w:rsidP="00E210AF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C45EA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:rsidR="005256AF" w:rsidRPr="003C1EDB" w:rsidRDefault="005256AF" w:rsidP="006C7CDC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6C7CDC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6C7CDC">
            <w:pPr>
              <w:pStyle w:val="Akapitzlist"/>
              <w:widowControl w:val="0"/>
              <w:numPr>
                <w:ilvl w:val="0"/>
                <w:numId w:val="25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6C7CDC">
            <w:pPr>
              <w:tabs>
                <w:tab w:val="left" w:pos="1428"/>
              </w:tabs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Dostępność polskojęzycznego oprogramowania komputerowego do tworzenia i przesyłania do pompy biblioteki leków.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Default="005256AF" w:rsidP="00E210AF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C45EA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:rsidR="005256AF" w:rsidRPr="003C1EDB" w:rsidRDefault="005256AF" w:rsidP="006C7CDC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6C7CDC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6C7CDC">
            <w:pPr>
              <w:pStyle w:val="Akapitzlist"/>
              <w:widowControl w:val="0"/>
              <w:numPr>
                <w:ilvl w:val="0"/>
                <w:numId w:val="25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6C7CDC">
            <w:pPr>
              <w:tabs>
                <w:tab w:val="left" w:pos="1428"/>
              </w:tabs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Wysokość pompy 11,5 cm.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Default="005256AF" w:rsidP="00E210AF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C45EA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:rsidR="005256AF" w:rsidRPr="003C1EDB" w:rsidRDefault="005256AF" w:rsidP="006C7CDC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6C7CDC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6C7CDC">
            <w:pPr>
              <w:pStyle w:val="Akapitzlist"/>
              <w:widowControl w:val="0"/>
              <w:numPr>
                <w:ilvl w:val="0"/>
                <w:numId w:val="25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6C7CDC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Możliwość instalacji pompy w stacji dokującej:</w:t>
            </w:r>
          </w:p>
          <w:p w:rsidR="005256AF" w:rsidRPr="00A755EB" w:rsidRDefault="005256AF" w:rsidP="006C7CDC">
            <w:pPr>
              <w:numPr>
                <w:ilvl w:val="0"/>
                <w:numId w:val="31"/>
              </w:numPr>
              <w:ind w:left="358" w:hanging="284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zatrzaskowe</w:t>
            </w:r>
            <w:proofErr w:type="gramEnd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 xml:space="preserve"> mocowanie z automatyczną blokadą, bez konieczności przykręcania,</w:t>
            </w:r>
          </w:p>
          <w:p w:rsidR="005256AF" w:rsidRPr="00A755EB" w:rsidRDefault="005256AF" w:rsidP="006C7CDC">
            <w:pPr>
              <w:numPr>
                <w:ilvl w:val="0"/>
                <w:numId w:val="31"/>
              </w:numPr>
              <w:ind w:left="358" w:hanging="284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alarm</w:t>
            </w:r>
            <w:proofErr w:type="gramEnd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 xml:space="preserve"> nieprawidłowego mocowania,</w:t>
            </w:r>
          </w:p>
          <w:p w:rsidR="005256AF" w:rsidRPr="00A755EB" w:rsidRDefault="005256AF" w:rsidP="006C7CDC">
            <w:pPr>
              <w:numPr>
                <w:ilvl w:val="0"/>
                <w:numId w:val="31"/>
              </w:numPr>
              <w:ind w:left="358" w:hanging="284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pompy</w:t>
            </w:r>
            <w:proofErr w:type="gramEnd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 xml:space="preserve"> mocowane niezależnie, jedna nad drugą, </w:t>
            </w:r>
          </w:p>
          <w:p w:rsidR="005256AF" w:rsidRPr="00A755EB" w:rsidRDefault="005256AF" w:rsidP="006C7CDC">
            <w:pPr>
              <w:numPr>
                <w:ilvl w:val="0"/>
                <w:numId w:val="31"/>
              </w:numPr>
              <w:ind w:left="358" w:hanging="284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automatyczne</w:t>
            </w:r>
            <w:proofErr w:type="gramEnd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 xml:space="preserve"> przyłączenie zasilania ze stacji dokującej,</w:t>
            </w:r>
          </w:p>
          <w:p w:rsidR="005256AF" w:rsidRPr="00A755EB" w:rsidRDefault="005256AF" w:rsidP="006C7CDC">
            <w:pPr>
              <w:numPr>
                <w:ilvl w:val="0"/>
                <w:numId w:val="31"/>
              </w:numPr>
              <w:ind w:left="358" w:hanging="284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automatyczne</w:t>
            </w:r>
            <w:proofErr w:type="gramEnd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 xml:space="preserve"> przyłączenie portu komunikacyjnego ze stacji dokującej,</w:t>
            </w:r>
          </w:p>
          <w:p w:rsidR="005256AF" w:rsidRPr="00A755EB" w:rsidRDefault="005256AF" w:rsidP="006C7CDC">
            <w:pPr>
              <w:numPr>
                <w:ilvl w:val="0"/>
                <w:numId w:val="31"/>
              </w:numPr>
              <w:ind w:left="358" w:hanging="284"/>
              <w:rPr>
                <w:rFonts w:asciiTheme="minorHAnsi" w:hAnsiTheme="minorHAnsi" w:cstheme="minorHAnsi"/>
                <w:sz w:val="22"/>
                <w:szCs w:val="22"/>
              </w:rPr>
            </w:pPr>
            <w:proofErr w:type="gramStart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świetlna</w:t>
            </w:r>
            <w:proofErr w:type="gramEnd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 xml:space="preserve"> sygnalizacja stanu pomp: infuzja, alarm, </w:t>
            </w:r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STOP.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Default="005256AF" w:rsidP="00E210AF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C45EA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:rsidR="005256AF" w:rsidRPr="003C1EDB" w:rsidRDefault="005256AF" w:rsidP="006C7CDC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6C7CDC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6C7CDC">
            <w:pPr>
              <w:pStyle w:val="Akapitzlist"/>
              <w:widowControl w:val="0"/>
              <w:numPr>
                <w:ilvl w:val="0"/>
                <w:numId w:val="25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6C7CDC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bCs/>
                <w:sz w:val="22"/>
                <w:szCs w:val="22"/>
              </w:rPr>
              <w:t>Mocowanie pojedynczej pompy do statywów lub pionowych kolumn niewymagające dołączenia jakichkolwiek części, w szczególności uchwytu mocującego, po bezpośrednim wyjęciu pompy z stacji dokującej.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Default="005256AF" w:rsidP="00E210AF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C45EA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:rsidR="005256AF" w:rsidRPr="003C1EDB" w:rsidRDefault="005256AF" w:rsidP="006C7CDC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6C7CDC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6C7CDC">
            <w:pPr>
              <w:pStyle w:val="Akapitzlist"/>
              <w:widowControl w:val="0"/>
              <w:numPr>
                <w:ilvl w:val="0"/>
                <w:numId w:val="25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6C7CDC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Mocowanie pomp w stacji dokującej niewymagające odłączenia jakichkolwiek części, w szczególności uchwytu mocującego, po bezpośrednim zdjęciu pompy ze statywu.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Default="005256AF" w:rsidP="00E210AF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C45EA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:rsidR="005256AF" w:rsidRPr="003C1EDB" w:rsidRDefault="005256AF" w:rsidP="006C7CDC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6C7CDC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6C7CDC">
            <w:pPr>
              <w:pStyle w:val="Akapitzlist"/>
              <w:widowControl w:val="0"/>
              <w:numPr>
                <w:ilvl w:val="0"/>
                <w:numId w:val="25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6C7CDC">
            <w:pPr>
              <w:snapToGrid w:val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bCs/>
                <w:sz w:val="22"/>
                <w:szCs w:val="22"/>
              </w:rPr>
              <w:t>Uchwyt do przenoszenia pompy na stałe związany z pompą, niewymagający odłączania przy mocowaniu pomp w stacjach dokujących.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Default="005256AF" w:rsidP="00E210AF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C45EA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:rsidR="005256AF" w:rsidRPr="003C1EDB" w:rsidRDefault="005256AF" w:rsidP="006C7CDC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6C7CDC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6C7CDC">
            <w:pPr>
              <w:pStyle w:val="Akapitzlist"/>
              <w:widowControl w:val="0"/>
              <w:numPr>
                <w:ilvl w:val="0"/>
                <w:numId w:val="25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6C7C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 xml:space="preserve">Możliwość komunikacji pomp umieszczonych w stacjach dokujących wyposażonych w </w:t>
            </w:r>
            <w:proofErr w:type="spellStart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interface</w:t>
            </w:r>
            <w:proofErr w:type="spellEnd"/>
            <w:r w:rsidRPr="00A755EB">
              <w:rPr>
                <w:rFonts w:asciiTheme="minorHAnsi" w:hAnsiTheme="minorHAnsi" w:cstheme="minorHAnsi"/>
                <w:sz w:val="22"/>
                <w:szCs w:val="22"/>
              </w:rPr>
              <w:t xml:space="preserve"> LAN z oprogramowaniem zewnętrznym.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Default="005256AF" w:rsidP="00E210AF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C45EA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:rsidR="005256AF" w:rsidRPr="003C1EDB" w:rsidRDefault="005256AF" w:rsidP="006C7CDC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6C7CDC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6C7CDC">
            <w:pPr>
              <w:pStyle w:val="Akapitzlist"/>
              <w:widowControl w:val="0"/>
              <w:numPr>
                <w:ilvl w:val="0"/>
                <w:numId w:val="25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6C7CDC">
            <w:pPr>
              <w:snapToGrid w:val="0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Historia infuzji – możliwość zapamiętania min. 2000 pełnych infuzji.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Default="005256AF" w:rsidP="00E210AF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C45EA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:rsidR="005256AF" w:rsidRPr="003C1EDB" w:rsidRDefault="005256AF" w:rsidP="006C7CDC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6C7CDC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6C7CDC">
            <w:pPr>
              <w:pStyle w:val="Akapitzlist"/>
              <w:widowControl w:val="0"/>
              <w:numPr>
                <w:ilvl w:val="0"/>
                <w:numId w:val="25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6C7CDC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Klasa ochrony II, typ CF, odporność na defibrylację, stopień ochrony obudowy IP22.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Default="005256AF" w:rsidP="00E210AF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C45EA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:rsidR="005256AF" w:rsidRPr="003C1EDB" w:rsidRDefault="005256AF" w:rsidP="006C7CDC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6C7CDC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6C7CDC">
            <w:pPr>
              <w:pStyle w:val="Akapitzlist"/>
              <w:widowControl w:val="0"/>
              <w:numPr>
                <w:ilvl w:val="0"/>
                <w:numId w:val="25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6C7CDC">
            <w:pPr>
              <w:snapToGrid w:val="0"/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Zasilanie pomp mocowanych poza stacją dokującą bezpośrednio z sieci energetycznej.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Default="005256AF" w:rsidP="00E210AF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C45EA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:rsidR="005256AF" w:rsidRPr="003C1EDB" w:rsidRDefault="005256AF" w:rsidP="006C7CDC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6C7CDC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56AF" w:rsidRPr="00A7621D" w:rsidRDefault="005256AF" w:rsidP="006C7CDC">
            <w:pPr>
              <w:pStyle w:val="Akapitzlist"/>
              <w:widowControl w:val="0"/>
              <w:numPr>
                <w:ilvl w:val="0"/>
                <w:numId w:val="25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56AF" w:rsidRDefault="005256AF" w:rsidP="006C7CDC">
            <w:pPr>
              <w:snapToGrid w:val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bCs/>
                <w:sz w:val="22"/>
                <w:szCs w:val="22"/>
              </w:rPr>
              <w:t>Czas pracy z akumulatora min. 1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2</w:t>
            </w:r>
            <w:r w:rsidRPr="00A755EB">
              <w:rPr>
                <w:rFonts w:asciiTheme="minorHAnsi" w:hAnsiTheme="minorHAnsi" w:cstheme="minorHAnsi"/>
                <w:bCs/>
                <w:sz w:val="22"/>
                <w:szCs w:val="22"/>
              </w:rPr>
              <w:t>h przy infuzji 25 ml/h.</w:t>
            </w:r>
          </w:p>
          <w:p w:rsidR="005256AF" w:rsidRDefault="005256AF" w:rsidP="00A46A8E">
            <w:pPr>
              <w:spacing w:before="20" w:after="20"/>
              <w:rPr>
                <w:rFonts w:ascii="Calibri" w:hAnsi="Calibri" w:cs="Calibri"/>
                <w:b/>
                <w:sz w:val="22"/>
                <w:szCs w:val="22"/>
                <w:u w:val="single"/>
              </w:rPr>
            </w:pPr>
            <w:r>
              <w:rPr>
                <w:rFonts w:ascii="Calibri" w:hAnsi="Calibri" w:cs="Calibri"/>
                <w:b/>
                <w:sz w:val="22"/>
                <w:szCs w:val="22"/>
                <w:u w:val="single"/>
              </w:rPr>
              <w:t>Zasady oceny punktowej:</w:t>
            </w:r>
          </w:p>
          <w:p w:rsidR="005256AF" w:rsidRDefault="005256AF" w:rsidP="006C7CDC">
            <w:pPr>
              <w:snapToGrid w:val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12 h – 0 pkt</w:t>
            </w:r>
          </w:p>
          <w:p w:rsidR="005256AF" w:rsidRPr="00A755EB" w:rsidRDefault="005256AF" w:rsidP="006C7CDC">
            <w:pPr>
              <w:snapToGrid w:val="0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Powyżej – 10 pkt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56AF" w:rsidRPr="003C1EDB" w:rsidRDefault="005256AF" w:rsidP="006C7CDC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536D1F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- podać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:rsidR="005256AF" w:rsidRPr="003C1EDB" w:rsidRDefault="005256AF" w:rsidP="006C7CDC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6C7CDC">
            <w:pPr>
              <w:pStyle w:val="Akapitzlist"/>
              <w:widowControl w:val="0"/>
              <w:numPr>
                <w:ilvl w:val="0"/>
                <w:numId w:val="25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6C7C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Czas ładowania akumulatora do 100% po pełnym rozładowaniu – do 5 h.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Default="005256AF" w:rsidP="00E210AF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C45EA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:rsidR="005256AF" w:rsidRPr="003C1EDB" w:rsidRDefault="005256AF" w:rsidP="006C7CDC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6C7CDC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6C7CDC">
            <w:pPr>
              <w:pStyle w:val="Akapitzlist"/>
              <w:widowControl w:val="0"/>
              <w:numPr>
                <w:ilvl w:val="0"/>
                <w:numId w:val="25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55EB" w:rsidRDefault="005256AF" w:rsidP="006C7C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2"/>
                <w:szCs w:val="22"/>
              </w:rPr>
            </w:pPr>
            <w:r w:rsidRPr="00A755EB">
              <w:rPr>
                <w:rFonts w:asciiTheme="minorHAnsi" w:hAnsiTheme="minorHAnsi" w:cstheme="minorHAnsi"/>
                <w:sz w:val="22"/>
                <w:szCs w:val="22"/>
              </w:rPr>
              <w:t>Waga do 2,5 kg.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Default="005256AF" w:rsidP="00E210AF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C45EA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:rsidR="005256AF" w:rsidRPr="003C1EDB" w:rsidRDefault="005256AF" w:rsidP="006C7CDC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6C7CDC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7751D4" w:rsidRDefault="005256AF" w:rsidP="006C7CDC">
            <w:pPr>
              <w:widowControl w:val="0"/>
              <w:snapToGrid w:val="0"/>
              <w:spacing w:before="96" w:after="96"/>
              <w:ind w:left="142"/>
              <w:jc w:val="center"/>
              <w:rPr>
                <w:rFonts w:asciiTheme="minorHAnsi" w:hAnsiTheme="minorHAnsi" w:cstheme="minorHAnsi"/>
                <w:sz w:val="20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7751D4" w:rsidRDefault="005256AF" w:rsidP="006C7C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b/>
                <w:sz w:val="20"/>
                <w:szCs w:val="22"/>
              </w:rPr>
            </w:pPr>
            <w:r w:rsidRPr="007751D4">
              <w:rPr>
                <w:rFonts w:ascii="Arial" w:hAnsi="Arial" w:cs="Arial"/>
                <w:b/>
                <w:sz w:val="20"/>
                <w:szCs w:val="22"/>
              </w:rPr>
              <w:t>INNE (dotyczy poz. A, B i C)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6C7CDC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6C7CDC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A7621D" w:rsidRDefault="005256AF" w:rsidP="006C7CDC">
            <w:pPr>
              <w:pStyle w:val="Akapitzlist"/>
              <w:widowControl w:val="0"/>
              <w:numPr>
                <w:ilvl w:val="0"/>
                <w:numId w:val="25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B12BF3" w:rsidRDefault="005256AF" w:rsidP="006C7C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12BF3">
              <w:rPr>
                <w:rFonts w:asciiTheme="minorHAnsi" w:hAnsiTheme="minorHAnsi" w:cstheme="minorHAnsi"/>
                <w:sz w:val="22"/>
                <w:szCs w:val="22"/>
              </w:rPr>
              <w:t>Oferowany sprzęt musi charakteryzować się niskim zużyciem energii zarówno w trybie pracy, jak i w trybie gotowości (czuwania), zgodnie z uznanymi standardami efektywności energetycznej obowiązującymi w Unii Europejskiej lub powszechnie przyjmowanymi w środowisku międzynarodowym.</w:t>
            </w:r>
          </w:p>
          <w:p w:rsidR="005256AF" w:rsidRPr="00B12BF3" w:rsidRDefault="005256AF" w:rsidP="006C7C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12BF3">
              <w:rPr>
                <w:rFonts w:asciiTheme="minorHAnsi" w:hAnsiTheme="minorHAnsi" w:cstheme="minorHAnsi"/>
                <w:sz w:val="22"/>
                <w:szCs w:val="22"/>
              </w:rPr>
              <w:t>W przypadku produktów związanych z energią, dla których w formie aktów delegowanych Komisji Europejskiej przyjęta została etykieta energetyczna, wykonawca zobowiązany jest do przedłożenia odpowiedniej etykiety energetycznej potwierdzającej osiąganie najwyższych poziomów efektywności energetycznej.</w:t>
            </w:r>
          </w:p>
          <w:p w:rsidR="005256AF" w:rsidRPr="00B12BF3" w:rsidRDefault="005256AF" w:rsidP="006C7CDC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12BF3">
              <w:rPr>
                <w:rFonts w:asciiTheme="minorHAnsi" w:hAnsiTheme="minorHAnsi" w:cstheme="minorHAnsi"/>
                <w:sz w:val="22"/>
                <w:szCs w:val="22"/>
              </w:rPr>
              <w:t>Jeżeli dla danego produktu nie została przewidziana etykieta energetyczna, a obowiązują wymagania w zakresie poziomów referencyjnych efektywności energetycznej określone w rozporządzeniach Komisji UE wydanych na podstawie dyrektywy Parlamentu Europejskiego i Rady 2009/125/WE z dnia 21 października 2009 r., wymagane jest przedłożenie certyfikatu zgodności CE potwierdzającego spełnienie przez wyrób wymagań zharmonizowanych norm.</w:t>
            </w:r>
          </w:p>
          <w:p w:rsidR="005256AF" w:rsidRPr="00B12BF3" w:rsidRDefault="005256AF" w:rsidP="006C7CDC">
            <w:pPr>
              <w:pStyle w:val="Standard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2BF3">
              <w:rPr>
                <w:rFonts w:asciiTheme="minorHAnsi" w:hAnsiTheme="minorHAnsi" w:cstheme="minorHAnsi"/>
                <w:sz w:val="22"/>
                <w:szCs w:val="22"/>
              </w:rPr>
              <w:t>W pozostałych przypadkach, na potwierdzenie spełniania wymagań dotyczących efektywności energetycznej, wykonawca zobowiązany jest do przedstawienia dokumentacji producenta lub niezależnej jednostki oceniającej zgodność, zawierającej dane techniczne dotyczące zużycia energii.</w:t>
            </w:r>
          </w:p>
          <w:p w:rsidR="005256AF" w:rsidRPr="00B12BF3" w:rsidRDefault="005256AF" w:rsidP="006C7C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inorHAnsi" w:hAnsiTheme="minorHAnsi" w:cstheme="minorHAnsi"/>
                <w:sz w:val="22"/>
                <w:szCs w:val="22"/>
              </w:rPr>
            </w:pPr>
            <w:r w:rsidRPr="00B12BF3">
              <w:rPr>
                <w:rFonts w:asciiTheme="minorHAnsi" w:hAnsiTheme="minorHAnsi" w:cstheme="minorHAnsi"/>
                <w:sz w:val="22"/>
                <w:szCs w:val="22"/>
              </w:rPr>
              <w:t>Powyższe dokumenty należy przedłożyć przy odbiorze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Default="005256AF" w:rsidP="006C7CDC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C45EA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  <w:p w:rsidR="005256AF" w:rsidRDefault="005256AF" w:rsidP="006C7C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256AF" w:rsidRDefault="005256AF" w:rsidP="006C7C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256AF" w:rsidRPr="007A47C8" w:rsidRDefault="005256AF" w:rsidP="006C7CDC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256AF" w:rsidRPr="003C1EDB" w:rsidRDefault="005256AF" w:rsidP="006C7CDC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bookmarkStart w:id="0" w:name="_GoBack"/>
            <w:bookmarkEnd w:id="0"/>
          </w:p>
        </w:tc>
      </w:tr>
      <w:tr w:rsidR="005256AF" w:rsidTr="00F92E92">
        <w:trPr>
          <w:trHeight w:val="446"/>
          <w:jc w:val="center"/>
        </w:trPr>
        <w:tc>
          <w:tcPr>
            <w:tcW w:w="56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56AF" w:rsidRPr="00A7621D" w:rsidRDefault="005256AF" w:rsidP="006C7CDC">
            <w:pPr>
              <w:pStyle w:val="Akapitzlist"/>
              <w:widowControl w:val="0"/>
              <w:numPr>
                <w:ilvl w:val="0"/>
                <w:numId w:val="25"/>
              </w:numPr>
              <w:snapToGrid w:val="0"/>
              <w:spacing w:before="96" w:after="96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5256AF" w:rsidRPr="00B12BF3" w:rsidRDefault="005256AF" w:rsidP="006C7CDC">
            <w:pPr>
              <w:rPr>
                <w:rFonts w:asciiTheme="minorHAnsi" w:eastAsia="Lucida Sans Unicode" w:hAnsiTheme="minorHAnsi" w:cstheme="minorHAnsi"/>
                <w:sz w:val="22"/>
                <w:szCs w:val="22"/>
                <w:highlight w:val="yellow"/>
              </w:rPr>
            </w:pPr>
            <w:r w:rsidRPr="00B12BF3">
              <w:rPr>
                <w:rFonts w:asciiTheme="minorHAnsi" w:hAnsiTheme="minorHAnsi" w:cstheme="minorHAnsi"/>
                <w:sz w:val="22"/>
                <w:szCs w:val="22"/>
              </w:rPr>
              <w:t xml:space="preserve">Zakupiony sprzęt będzie wyposażony w technologie pozwalające na optymalne gospodarowanie energią elektryczną (np. tryb czuwania, energooszczędny, </w:t>
            </w:r>
            <w:proofErr w:type="spellStart"/>
            <w:r w:rsidRPr="00B12BF3">
              <w:rPr>
                <w:rFonts w:asciiTheme="minorHAnsi" w:hAnsiTheme="minorHAnsi" w:cstheme="minorHAnsi"/>
                <w:sz w:val="22"/>
                <w:szCs w:val="22"/>
              </w:rPr>
              <w:t>eco</w:t>
            </w:r>
            <w:proofErr w:type="spellEnd"/>
            <w:r w:rsidRPr="00B12BF3">
              <w:rPr>
                <w:rFonts w:asciiTheme="minorHAnsi" w:hAnsiTheme="minorHAnsi" w:cstheme="minorHAnsi"/>
                <w:sz w:val="22"/>
                <w:szCs w:val="22"/>
              </w:rPr>
              <w:t>, itp.)</w:t>
            </w:r>
          </w:p>
        </w:tc>
        <w:tc>
          <w:tcPr>
            <w:tcW w:w="13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56AF" w:rsidRPr="003C1EDB" w:rsidRDefault="005256AF" w:rsidP="006C7CDC">
            <w:pPr>
              <w:widowControl w:val="0"/>
              <w:snapToGri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C45EA">
              <w:rPr>
                <w:rFonts w:asciiTheme="minorHAnsi" w:hAnsiTheme="minorHAnsi" w:cstheme="minorHAnsi"/>
                <w:sz w:val="22"/>
                <w:szCs w:val="22"/>
              </w:rPr>
              <w:t>TAK</w:t>
            </w:r>
          </w:p>
        </w:tc>
        <w:tc>
          <w:tcPr>
            <w:tcW w:w="31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56AF" w:rsidRPr="003C1EDB" w:rsidRDefault="005256AF" w:rsidP="006C7CDC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C414C1" w:rsidRDefault="00C414C1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p w:rsidR="00B017F6" w:rsidRDefault="00B017F6">
      <w:pPr>
        <w:pStyle w:val="Standard"/>
        <w:rPr>
          <w:rFonts w:ascii="Calibri" w:hAnsi="Calibri" w:cs="Calibri"/>
          <w:b/>
          <w:bCs/>
          <w:color w:val="FF0000"/>
          <w:sz w:val="20"/>
          <w:szCs w:val="20"/>
        </w:rPr>
      </w:pPr>
    </w:p>
    <w:tbl>
      <w:tblPr>
        <w:tblW w:w="11058" w:type="dxa"/>
        <w:tblInd w:w="-1008" w:type="dxa"/>
        <w:tblLayout w:type="fixed"/>
        <w:tblLook w:val="04A0" w:firstRow="1" w:lastRow="0" w:firstColumn="1" w:lastColumn="0" w:noHBand="0" w:noVBand="1"/>
      </w:tblPr>
      <w:tblGrid>
        <w:gridCol w:w="567"/>
        <w:gridCol w:w="6077"/>
        <w:gridCol w:w="1419"/>
        <w:gridCol w:w="2995"/>
      </w:tblGrid>
      <w:tr w:rsidR="00C414C1">
        <w:trPr>
          <w:trHeight w:val="648"/>
        </w:trPr>
        <w:tc>
          <w:tcPr>
            <w:tcW w:w="11058" w:type="dxa"/>
            <w:gridSpan w:val="4"/>
            <w:tcBorders>
              <w:top w:val="double" w:sz="4" w:space="0" w:color="000000"/>
              <w:left w:val="double" w:sz="4" w:space="0" w:color="000000"/>
              <w:bottom w:val="double" w:sz="4" w:space="0" w:color="000000"/>
              <w:right w:val="double" w:sz="4" w:space="0" w:color="000000"/>
            </w:tcBorders>
            <w:shd w:val="clear" w:color="auto" w:fill="D5DCE4"/>
            <w:vAlign w:val="center"/>
          </w:tcPr>
          <w:p w:rsidR="00C414C1" w:rsidRDefault="00554556">
            <w:pPr>
              <w:widowControl w:val="0"/>
              <w:shd w:val="clear" w:color="auto" w:fill="D5DCE4"/>
              <w:jc w:val="center"/>
              <w:rPr>
                <w:rFonts w:ascii="Calibri" w:hAnsi="Calibri" w:cs="Calibri"/>
                <w:b/>
              </w:rPr>
            </w:pPr>
            <w:r>
              <w:rPr>
                <w:rFonts w:ascii="Calibri" w:hAnsi="Calibri" w:cs="Calibri"/>
                <w:b/>
              </w:rPr>
              <w:t>WARUNKI GWARANCJI I SERWISU</w:t>
            </w:r>
          </w:p>
        </w:tc>
      </w:tr>
      <w:tr w:rsidR="00C414C1" w:rsidTr="00B12BF3">
        <w:trPr>
          <w:trHeight w:val="691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A7621D" w:rsidRDefault="00554556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7621D">
              <w:rPr>
                <w:rFonts w:asciiTheme="minorHAnsi" w:hAnsiTheme="minorHAnsi" w:cstheme="minorHAnsi"/>
                <w:sz w:val="22"/>
                <w:szCs w:val="22"/>
              </w:rPr>
              <w:t>1.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B12BF3" w:rsidRDefault="00CA0691" w:rsidP="00EA05B8">
            <w:pPr>
              <w:snapToGrid w:val="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B12BF3">
              <w:rPr>
                <w:rFonts w:ascii="Calibri" w:hAnsi="Calibri" w:cs="Calibri"/>
                <w:sz w:val="22"/>
                <w:szCs w:val="22"/>
              </w:rPr>
              <w:t xml:space="preserve">Gwarancja min. 24 m-ce (bezpłatne – wliczone w cenę oferty przeglądy w okresie gwarancji, min. 1x/rok lub częściej, zgodnie z zaleceniami </w:t>
            </w:r>
            <w:proofErr w:type="gramStart"/>
            <w:r w:rsidRPr="00B12BF3">
              <w:rPr>
                <w:rFonts w:ascii="Calibri" w:hAnsi="Calibri" w:cs="Calibri"/>
                <w:sz w:val="22"/>
                <w:szCs w:val="22"/>
              </w:rPr>
              <w:t>producenta – jeżeli</w:t>
            </w:r>
            <w:proofErr w:type="gramEnd"/>
            <w:r w:rsidRPr="00B12BF3">
              <w:rPr>
                <w:rFonts w:ascii="Calibri" w:hAnsi="Calibri" w:cs="Calibri"/>
                <w:sz w:val="22"/>
                <w:szCs w:val="22"/>
              </w:rPr>
              <w:t xml:space="preserve"> dotyczy) 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B12BF3" w:rsidRDefault="00554556">
            <w:pPr>
              <w:widowControl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B12BF3">
              <w:rPr>
                <w:rFonts w:asciiTheme="minorHAnsi" w:hAnsiTheme="minorHAnsi" w:cstheme="minorHAns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B12BF3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35"/>
        </w:trPr>
        <w:tc>
          <w:tcPr>
            <w:tcW w:w="56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lastRenderedPageBreak/>
              <w:t>2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Czas reakcji liczony od przyjęcia zgłoszenia do momentu podjęcia naprawy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– 48 godzin w dni robocze</w:t>
            </w:r>
          </w:p>
        </w:tc>
        <w:tc>
          <w:tcPr>
            <w:tcW w:w="141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89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3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554556" w:rsidP="00295574">
            <w:pPr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 xml:space="preserve">Maksymalny czas niezbędny na usunięcie awarii od czasu zdiagnozowania awarii: </w:t>
            </w:r>
          </w:p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bez użycia części zamiennych - 3 dni </w:t>
            </w:r>
          </w:p>
          <w:p w:rsidR="00C414C1" w:rsidRPr="00295574" w:rsidRDefault="00295574" w:rsidP="00295574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- z użyciem części zamiennych – 5 dni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snapToGri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C414C1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ind w:right="451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630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4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Przedłużenie okresu gwarancji o każdy dzień trwania naprawy gwarancyjnej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 xml:space="preserve"> 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5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 w:rsidP="00295574">
            <w:pPr>
              <w:widowControl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 Liczba napraw powodująca wymianę podzespołu na nowy w okresie gwarancji – </w:t>
            </w:r>
            <w:r w:rsidR="00295574" w:rsidRPr="00295574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6</w:t>
            </w:r>
            <w:r w:rsidR="00554556"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554556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gwarancyjny autoryzowany przez producenta aparatu. Na terenie Polski. Podać dane kontaktowe z serwisem.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Tak/ podać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295574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7.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>
            <w:pPr>
              <w:widowControl w:val="0"/>
              <w:snapToGrid w:val="0"/>
              <w:ind w:left="69" w:hanging="69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W przypadku awarii w okresie gwarancji koszt przyjazdu, dostawy pokrywa Wykonawca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Default="00295574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8.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Okres zagwarantowania dostępności części zamiennych od daty podpisania protokołu odbioru - 10 lat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9.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Pr="00295574" w:rsidRDefault="00295574" w:rsidP="008E3A72">
            <w:pPr>
              <w:widowControl w:val="0"/>
              <w:snapToGrid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Serwis pogwarancyjny przez okres, co najmniej 8 lat od daty podpisania protokołu odbioru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 w:rsidRPr="00D20DD7" w:rsidTr="00A7621D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A7621D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7621D">
              <w:rPr>
                <w:rFonts w:ascii="Calibri" w:hAnsi="Calibri" w:cs="Calibri"/>
                <w:sz w:val="22"/>
                <w:szCs w:val="22"/>
              </w:rPr>
              <w:t>10.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A7621D" w:rsidRDefault="00295574" w:rsidP="00D20DD7">
            <w:pPr>
              <w:widowControl w:val="0"/>
              <w:jc w:val="both"/>
              <w:rPr>
                <w:rFonts w:ascii="Calibri" w:hAnsi="Calibri" w:cs="Calibri"/>
                <w:sz w:val="22"/>
                <w:szCs w:val="22"/>
              </w:rPr>
            </w:pPr>
            <w:r w:rsidRPr="00A7621D">
              <w:rPr>
                <w:rFonts w:ascii="Calibri" w:hAnsi="Calibri" w:cs="Calibri"/>
                <w:sz w:val="22"/>
                <w:szCs w:val="22"/>
              </w:rPr>
              <w:t xml:space="preserve">Paszport techniczny, instrukcje obsługi w języku polskim </w:t>
            </w:r>
            <w:r w:rsidR="00D20DD7" w:rsidRPr="00A7621D">
              <w:rPr>
                <w:rFonts w:ascii="Calibri" w:hAnsi="Calibri" w:cs="Calibri"/>
                <w:sz w:val="22"/>
                <w:szCs w:val="22"/>
              </w:rPr>
              <w:t>dostarczona w wersji papierowej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A7621D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A7621D"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414C1" w:rsidRPr="00A7621D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8E3A72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11.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Pr="008E3A72" w:rsidRDefault="00EA05B8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highlight w:val="white"/>
              </w:rPr>
              <w:t>Instruktaż</w:t>
            </w:r>
            <w:r w:rsidR="008E3A72"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z obsługi w</w:t>
            </w:r>
            <w:r w:rsid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 siedzibie Z</w:t>
            </w:r>
            <w:r w:rsidR="008E3A72" w:rsidRPr="008E3A72">
              <w:rPr>
                <w:rFonts w:ascii="Calibri" w:hAnsi="Calibri" w:cs="Calibri"/>
                <w:sz w:val="22"/>
                <w:szCs w:val="22"/>
                <w:highlight w:val="white"/>
              </w:rPr>
              <w:t xml:space="preserve">amawiającego 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B4654F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8E3A72" w:rsidRDefault="008E3A72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  <w:tr w:rsidR="00C414C1">
        <w:trPr>
          <w:trHeight w:val="22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 w:rsidP="008E3A72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1</w:t>
            </w:r>
            <w:r w:rsidR="008E3A72">
              <w:rPr>
                <w:rFonts w:ascii="Calibri" w:hAnsi="Calibri" w:cs="Calibri"/>
                <w:sz w:val="22"/>
                <w:szCs w:val="22"/>
              </w:rPr>
              <w:t>2</w:t>
            </w:r>
            <w:r>
              <w:rPr>
                <w:rFonts w:ascii="Calibri" w:hAnsi="Calibri" w:cs="Calibri"/>
                <w:sz w:val="22"/>
                <w:szCs w:val="22"/>
              </w:rPr>
              <w:t>.</w:t>
            </w:r>
          </w:p>
        </w:tc>
        <w:tc>
          <w:tcPr>
            <w:tcW w:w="60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95574" w:rsidRPr="00295574" w:rsidRDefault="00295574" w:rsidP="00295574">
            <w:pPr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>Instalacja i uruchomienie</w:t>
            </w:r>
          </w:p>
          <w:p w:rsidR="00C414C1" w:rsidRPr="00295574" w:rsidRDefault="00295574" w:rsidP="008E3A72">
            <w:pPr>
              <w:widowControl w:val="0"/>
              <w:rPr>
                <w:rFonts w:ascii="Calibri" w:hAnsi="Calibri" w:cs="Calibri"/>
                <w:sz w:val="22"/>
                <w:szCs w:val="22"/>
              </w:rPr>
            </w:pPr>
            <w:r w:rsidRPr="00295574">
              <w:rPr>
                <w:rFonts w:ascii="Calibri" w:hAnsi="Calibri" w:cs="Calibri"/>
                <w:sz w:val="22"/>
                <w:szCs w:val="22"/>
              </w:rPr>
              <w:t xml:space="preserve">Wszelkiego rodzaju koszty związane z dodatkowym licencjonowaniem oraz integrowaniem dostarczonych urządzeń z rozwiązaniami posiadanymi przez Zamawiającego pokrywa </w:t>
            </w:r>
            <w:proofErr w:type="gramStart"/>
            <w:r w:rsidRPr="00295574">
              <w:rPr>
                <w:rFonts w:ascii="Calibri" w:hAnsi="Calibri" w:cs="Calibri"/>
                <w:sz w:val="22"/>
                <w:szCs w:val="22"/>
              </w:rPr>
              <w:t xml:space="preserve">Wykonawca </w:t>
            </w:r>
            <w:r>
              <w:rPr>
                <w:rFonts w:ascii="Calibri" w:hAnsi="Calibri" w:cs="Calibri"/>
                <w:sz w:val="22"/>
                <w:szCs w:val="22"/>
              </w:rPr>
              <w:t>– jeżeli</w:t>
            </w:r>
            <w:proofErr w:type="gramEnd"/>
            <w:r>
              <w:rPr>
                <w:rFonts w:ascii="Calibri" w:hAnsi="Calibri" w:cs="Calibri"/>
                <w:sz w:val="22"/>
                <w:szCs w:val="22"/>
              </w:rPr>
              <w:t xml:space="preserve"> dotyczy </w:t>
            </w:r>
            <w:r w:rsidRPr="00295574">
              <w:rPr>
                <w:rFonts w:ascii="Calibri" w:hAnsi="Calibri" w:cs="Calibri"/>
                <w:sz w:val="22"/>
                <w:szCs w:val="22"/>
              </w:rPr>
              <w:t>(wliczone w cenę oferty).</w:t>
            </w: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554556">
            <w:pPr>
              <w:widowControl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Tak</w:t>
            </w:r>
          </w:p>
        </w:tc>
        <w:tc>
          <w:tcPr>
            <w:tcW w:w="29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414C1" w:rsidRDefault="00C414C1">
            <w:pPr>
              <w:widowControl w:val="0"/>
              <w:jc w:val="center"/>
              <w:rPr>
                <w:rFonts w:ascii="Calibri" w:hAnsi="Calibri" w:cs="Calibri"/>
              </w:rPr>
            </w:pPr>
          </w:p>
        </w:tc>
      </w:tr>
    </w:tbl>
    <w:p w:rsidR="000A64C2" w:rsidRPr="000A64C2" w:rsidRDefault="000A64C2" w:rsidP="000A64C2">
      <w:pPr>
        <w:pStyle w:val="Tekstpodstawowy"/>
      </w:pPr>
    </w:p>
    <w:p w:rsidR="00C414C1" w:rsidRDefault="00554556" w:rsidP="00F53E5E">
      <w:pPr>
        <w:pStyle w:val="Nagwek"/>
        <w:numPr>
          <w:ilvl w:val="0"/>
          <w:numId w:val="2"/>
        </w:numPr>
        <w:jc w:val="both"/>
      </w:pPr>
      <w:r>
        <w:rPr>
          <w:rFonts w:ascii="Calibri" w:hAnsi="Calibri" w:cs="Calibri"/>
          <w:bCs/>
          <w:sz w:val="22"/>
          <w:szCs w:val="22"/>
        </w:rPr>
        <w:t xml:space="preserve">Zapis w kolumnie 3. „TAK” należy traktować, jako wymóg graniczny (wymagany), którego </w:t>
      </w:r>
      <w:r>
        <w:rPr>
          <w:rFonts w:ascii="Calibri" w:hAnsi="Calibri" w:cs="Calibri"/>
          <w:sz w:val="22"/>
          <w:szCs w:val="22"/>
        </w:rPr>
        <w:t>niespełnienie skutkować będzie odrzuceniem oferty, jako</w:t>
      </w:r>
      <w:r>
        <w:rPr>
          <w:rFonts w:ascii="Calibri" w:hAnsi="Calibri" w:cs="Calibri"/>
          <w:bCs/>
          <w:sz w:val="22"/>
          <w:szCs w:val="22"/>
        </w:rPr>
        <w:t xml:space="preserve"> niezgodnej ze SWZ.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>Niespełnienie któregokolwiek z wymaganych powyżej parametrów techniczno-użytkowych oraz wymagań, co do ich wartości minimalnych spowoduje odrzucenie oferty bez dalszej jej oceny.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eastAsia="Batang" w:hAnsi="Calibri" w:cs="Calibri"/>
          <w:color w:val="000000"/>
          <w:sz w:val="22"/>
          <w:szCs w:val="22"/>
        </w:rPr>
      </w:pPr>
      <w:r>
        <w:rPr>
          <w:rFonts w:ascii="Calibri" w:eastAsia="Batang" w:hAnsi="Calibri" w:cs="Calibri"/>
          <w:color w:val="000000"/>
          <w:sz w:val="22"/>
          <w:szCs w:val="22"/>
        </w:rPr>
        <w:t xml:space="preserve">Brak opisu w kolumnie 4. </w:t>
      </w:r>
      <w:proofErr w:type="gramStart"/>
      <w:r>
        <w:rPr>
          <w:rFonts w:ascii="Calibri" w:eastAsia="Batang" w:hAnsi="Calibri" w:cs="Calibri"/>
          <w:color w:val="000000"/>
          <w:sz w:val="22"/>
          <w:szCs w:val="22"/>
        </w:rPr>
        <w:t>traktowany</w:t>
      </w:r>
      <w:proofErr w:type="gramEnd"/>
      <w:r>
        <w:rPr>
          <w:rFonts w:ascii="Calibri" w:eastAsia="Batang" w:hAnsi="Calibri" w:cs="Calibri"/>
          <w:color w:val="000000"/>
          <w:sz w:val="22"/>
          <w:szCs w:val="22"/>
        </w:rPr>
        <w:t xml:space="preserve"> będzie, jako brak danego parametru.</w:t>
      </w:r>
    </w:p>
    <w:p w:rsidR="00C414C1" w:rsidRDefault="00554556" w:rsidP="00F53E5E">
      <w:pPr>
        <w:pStyle w:val="Nagwek"/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Zamawiający zastrzega sobie prawo sprawdzenia podanych przez wykonawcę parametrów w dostępnych materiałach technicznych lub u producenta w przypadku powstania wątpliwości, co do ich prawdziwości.</w:t>
      </w:r>
    </w:p>
    <w:p w:rsidR="00C414C1" w:rsidRDefault="00C414C1">
      <w:pPr>
        <w:jc w:val="both"/>
        <w:rPr>
          <w:rFonts w:ascii="Calibri" w:hAnsi="Calibri" w:cs="Calibri"/>
          <w:b/>
          <w:sz w:val="22"/>
          <w:szCs w:val="22"/>
        </w:rPr>
      </w:pPr>
    </w:p>
    <w:p w:rsidR="00C414C1" w:rsidRDefault="00554556">
      <w:pPr>
        <w:jc w:val="both"/>
      </w:pPr>
      <w:r>
        <w:rPr>
          <w:rFonts w:ascii="Calibri" w:hAnsi="Calibri" w:cs="Calibri"/>
          <w:sz w:val="22"/>
          <w:szCs w:val="22"/>
        </w:rPr>
        <w:t>Niniejszym oświadczam/y</w:t>
      </w:r>
      <w:r>
        <w:rPr>
          <w:rFonts w:ascii="Calibri" w:hAnsi="Calibri" w:cs="Calibri"/>
          <w:bCs/>
          <w:sz w:val="22"/>
          <w:szCs w:val="22"/>
        </w:rPr>
        <w:t>, że przedstawione powyżej dane są prawdziwe oraz zobowiązuję/</w:t>
      </w:r>
      <w:proofErr w:type="spellStart"/>
      <w:r>
        <w:rPr>
          <w:rFonts w:ascii="Calibri" w:hAnsi="Calibri" w:cs="Calibri"/>
          <w:bCs/>
          <w:sz w:val="22"/>
          <w:szCs w:val="22"/>
        </w:rPr>
        <w:t>emy</w:t>
      </w:r>
      <w:proofErr w:type="spellEnd"/>
      <w:r>
        <w:rPr>
          <w:rFonts w:ascii="Calibri" w:hAnsi="Calibri" w:cs="Calibri"/>
          <w:bCs/>
          <w:sz w:val="22"/>
          <w:szCs w:val="22"/>
        </w:rPr>
        <w:t xml:space="preserve"> się, w przypadku wygrania przetargu, do dostarczenia sprzętu spełniającego wyspecyfikowane parametry.</w:t>
      </w:r>
    </w:p>
    <w:p w:rsidR="00C414C1" w:rsidRDefault="00554556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Oświadczam/y, iż wyspecyfikowane powyżej urządzenia są kompletne i będą, po montażu i zainstalowaniu, gotowe do podjęcia prawidłowej pracy bez żadnych dodatkowych zakupów.</w:t>
      </w: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C414C1">
      <w:pPr>
        <w:ind w:right="-35"/>
        <w:rPr>
          <w:sz w:val="18"/>
          <w:szCs w:val="18"/>
        </w:rPr>
      </w:pPr>
    </w:p>
    <w:p w:rsidR="00C414C1" w:rsidRDefault="00554556">
      <w:pPr>
        <w:ind w:right="-35"/>
        <w:rPr>
          <w:sz w:val="22"/>
          <w:szCs w:val="22"/>
        </w:rPr>
      </w:pPr>
      <w:r>
        <w:rPr>
          <w:sz w:val="22"/>
          <w:szCs w:val="22"/>
        </w:rPr>
        <w:t>...................................</w:t>
      </w:r>
      <w:r>
        <w:rPr>
          <w:sz w:val="22"/>
          <w:szCs w:val="22"/>
        </w:rPr>
        <w:tab/>
        <w:t xml:space="preserve">                                                                         ....................................................</w:t>
      </w:r>
    </w:p>
    <w:p w:rsidR="00C414C1" w:rsidRPr="006A3532" w:rsidRDefault="006A3532" w:rsidP="001B18B2">
      <w:pPr>
        <w:rPr>
          <w:rFonts w:asciiTheme="minorHAnsi" w:hAnsiTheme="minorHAnsi" w:cstheme="minorHAnsi"/>
          <w:sz w:val="22"/>
          <w:szCs w:val="22"/>
        </w:rPr>
      </w:pPr>
      <w:r>
        <w:rPr>
          <w:sz w:val="22"/>
          <w:szCs w:val="22"/>
        </w:rPr>
        <w:t xml:space="preserve">          </w:t>
      </w:r>
      <w:proofErr w:type="gramStart"/>
      <w:r w:rsidR="00554556" w:rsidRPr="006A3532">
        <w:rPr>
          <w:rFonts w:asciiTheme="minorHAnsi" w:hAnsiTheme="minorHAnsi" w:cstheme="minorHAnsi"/>
          <w:sz w:val="22"/>
          <w:szCs w:val="22"/>
        </w:rPr>
        <w:t xml:space="preserve">data                                                  </w:t>
      </w:r>
      <w:proofErr w:type="gramEnd"/>
      <w:r w:rsidR="00554556" w:rsidRPr="006A3532">
        <w:rPr>
          <w:rFonts w:asciiTheme="minorHAnsi" w:hAnsiTheme="minorHAnsi" w:cstheme="minorHAnsi"/>
          <w:sz w:val="22"/>
          <w:szCs w:val="22"/>
        </w:rPr>
        <w:t xml:space="preserve">                                     </w:t>
      </w:r>
      <w:r>
        <w:rPr>
          <w:rFonts w:asciiTheme="minorHAnsi" w:hAnsiTheme="minorHAnsi" w:cstheme="minorHAnsi"/>
          <w:sz w:val="22"/>
          <w:szCs w:val="22"/>
        </w:rPr>
        <w:t xml:space="preserve">                </w:t>
      </w:r>
      <w:r w:rsidR="00554556" w:rsidRPr="006A3532">
        <w:rPr>
          <w:rFonts w:asciiTheme="minorHAnsi" w:hAnsiTheme="minorHAnsi" w:cstheme="minorHAnsi"/>
          <w:sz w:val="22"/>
          <w:szCs w:val="22"/>
        </w:rPr>
        <w:t xml:space="preserve">  </w:t>
      </w:r>
      <w:r w:rsidRPr="006A3532">
        <w:rPr>
          <w:rFonts w:asciiTheme="minorHAnsi" w:hAnsiTheme="minorHAnsi" w:cstheme="minorHAnsi"/>
          <w:sz w:val="22"/>
          <w:szCs w:val="22"/>
        </w:rPr>
        <w:t xml:space="preserve">  </w:t>
      </w:r>
      <w:r w:rsidR="00554556" w:rsidRPr="006A3532">
        <w:rPr>
          <w:rFonts w:asciiTheme="minorHAnsi" w:hAnsiTheme="minorHAnsi" w:cstheme="minorHAnsi"/>
          <w:sz w:val="22"/>
          <w:szCs w:val="22"/>
        </w:rPr>
        <w:t xml:space="preserve"> Podpis osoby upoważnionej</w:t>
      </w:r>
    </w:p>
    <w:sectPr w:rsidR="00C414C1" w:rsidRPr="006A3532">
      <w:headerReference w:type="default" r:id="rId8"/>
      <w:pgSz w:w="11906" w:h="16838"/>
      <w:pgMar w:top="993" w:right="1417" w:bottom="851" w:left="1417" w:header="0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B0776" w:rsidRDefault="00EB0776" w:rsidP="00EB0776">
      <w:r>
        <w:separator/>
      </w:r>
    </w:p>
  </w:endnote>
  <w:endnote w:type="continuationSeparator" w:id="0">
    <w:p w:rsidR="00EB0776" w:rsidRDefault="00EB0776" w:rsidP="00EB07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emens Sans">
    <w:altName w:val="Times New Roman"/>
    <w:charset w:val="EE"/>
    <w:family w:val="roman"/>
    <w:pitch w:val="variable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Andale Sans UI">
    <w:panose1 w:val="00000000000000000000"/>
    <w:charset w:val="00"/>
    <w:family w:val="roman"/>
    <w:notTrueType/>
    <w:pitch w:val="default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rlito">
    <w:panose1 w:val="020F0502020204030204"/>
    <w:charset w:val="EE"/>
    <w:family w:val="swiss"/>
    <w:pitch w:val="variable"/>
    <w:sig w:usb0="E10002FF" w:usb1="5000E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B0776" w:rsidRDefault="00EB0776" w:rsidP="00EB0776">
      <w:r>
        <w:separator/>
      </w:r>
    </w:p>
  </w:footnote>
  <w:footnote w:type="continuationSeparator" w:id="0">
    <w:p w:rsidR="00EB0776" w:rsidRDefault="00EB0776" w:rsidP="00EB077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B0776" w:rsidRDefault="00EB0776">
    <w:pPr>
      <w:pStyle w:val="Nagwek"/>
    </w:pPr>
    <w:r w:rsidRPr="005E5F05">
      <w:rPr>
        <w:noProof/>
      </w:rPr>
      <w:drawing>
        <wp:inline distT="0" distB="0" distL="0" distR="0">
          <wp:extent cx="5753100" cy="733425"/>
          <wp:effectExtent l="0" t="0" r="0" b="952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004F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931559F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BB977B1"/>
    <w:multiLevelType w:val="hybridMultilevel"/>
    <w:tmpl w:val="1C6A62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C11F09"/>
    <w:multiLevelType w:val="hybridMultilevel"/>
    <w:tmpl w:val="226E4AF2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49777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5" w15:restartNumberingAfterBreak="0">
    <w:nsid w:val="0F805574"/>
    <w:multiLevelType w:val="hybridMultilevel"/>
    <w:tmpl w:val="0234E0D0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0F94E90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7" w15:restartNumberingAfterBreak="0">
    <w:nsid w:val="12946504"/>
    <w:multiLevelType w:val="hybridMultilevel"/>
    <w:tmpl w:val="1C343684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15E766A7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9" w15:restartNumberingAfterBreak="0">
    <w:nsid w:val="21893187"/>
    <w:multiLevelType w:val="hybridMultilevel"/>
    <w:tmpl w:val="A4C6D008"/>
    <w:lvl w:ilvl="0" w:tplc="713A6160">
      <w:start w:val="1"/>
      <w:numFmt w:val="decimal"/>
      <w:lvlText w:val="%1."/>
      <w:lvlJc w:val="center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5DA5B3C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11" w15:restartNumberingAfterBreak="0">
    <w:nsid w:val="2D7352EF"/>
    <w:multiLevelType w:val="multilevel"/>
    <w:tmpl w:val="30A21B3E"/>
    <w:lvl w:ilvl="0">
      <w:start w:val="21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12" w15:restartNumberingAfterBreak="0">
    <w:nsid w:val="2E6C12A4"/>
    <w:multiLevelType w:val="hybridMultilevel"/>
    <w:tmpl w:val="303E10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EA80D96"/>
    <w:multiLevelType w:val="hybridMultilevel"/>
    <w:tmpl w:val="F16C51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EE1ED1"/>
    <w:multiLevelType w:val="hybridMultilevel"/>
    <w:tmpl w:val="34F6116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35BC2A3D"/>
    <w:multiLevelType w:val="multilevel"/>
    <w:tmpl w:val="562EA50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30F608B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8" w15:restartNumberingAfterBreak="0">
    <w:nsid w:val="44AE7C39"/>
    <w:multiLevelType w:val="hybridMultilevel"/>
    <w:tmpl w:val="D362D9E8"/>
    <w:lvl w:ilvl="0" w:tplc="04150005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44FC3270"/>
    <w:multiLevelType w:val="hybridMultilevel"/>
    <w:tmpl w:val="7D689A4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6323E22"/>
    <w:multiLevelType w:val="hybridMultilevel"/>
    <w:tmpl w:val="A2868FE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BFB2D87"/>
    <w:multiLevelType w:val="hybridMultilevel"/>
    <w:tmpl w:val="96CED4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C1B6402"/>
    <w:multiLevelType w:val="hybridMultilevel"/>
    <w:tmpl w:val="BF746A6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FBC6B5B"/>
    <w:multiLevelType w:val="hybridMultilevel"/>
    <w:tmpl w:val="AAACF23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0667142"/>
    <w:multiLevelType w:val="multilevel"/>
    <w:tmpl w:val="3FF2AA88"/>
    <w:lvl w:ilvl="0">
      <w:start w:val="1"/>
      <w:numFmt w:val="decimal"/>
      <w:lvlText w:val="%1.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25" w15:restartNumberingAfterBreak="0">
    <w:nsid w:val="660D5E0E"/>
    <w:multiLevelType w:val="hybridMultilevel"/>
    <w:tmpl w:val="14E25F2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6B7D7B12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7" w15:restartNumberingAfterBreak="0">
    <w:nsid w:val="6BD465B8"/>
    <w:multiLevelType w:val="hybridMultilevel"/>
    <w:tmpl w:val="13C81BE0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782628A3"/>
    <w:multiLevelType w:val="multilevel"/>
    <w:tmpl w:val="9CF287CA"/>
    <w:lvl w:ilvl="0">
      <w:start w:val="32"/>
      <w:numFmt w:val="decimal"/>
      <w:lvlText w:val="%1."/>
      <w:lvlJc w:val="left"/>
      <w:pPr>
        <w:tabs>
          <w:tab w:val="num" w:pos="0"/>
        </w:tabs>
        <w:ind w:left="284" w:hanging="284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29" w15:restartNumberingAfterBreak="0">
    <w:nsid w:val="7BD20221"/>
    <w:multiLevelType w:val="multilevel"/>
    <w:tmpl w:val="F2EAB1E6"/>
    <w:lvl w:ilvl="0">
      <w:start w:val="1"/>
      <w:numFmt w:val="decimal"/>
      <w:lvlText w:val="%1."/>
      <w:lvlJc w:val="left"/>
      <w:pPr>
        <w:tabs>
          <w:tab w:val="num" w:pos="0"/>
        </w:tabs>
        <w:ind w:left="284" w:hanging="284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0" w15:restartNumberingAfterBreak="0">
    <w:nsid w:val="7ED1636D"/>
    <w:multiLevelType w:val="hybridMultilevel"/>
    <w:tmpl w:val="4BBCFB0A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5"/>
  </w:num>
  <w:num w:numId="3">
    <w:abstractNumId w:val="1"/>
  </w:num>
  <w:num w:numId="4">
    <w:abstractNumId w:val="11"/>
  </w:num>
  <w:num w:numId="5">
    <w:abstractNumId w:val="28"/>
  </w:num>
  <w:num w:numId="6">
    <w:abstractNumId w:val="13"/>
  </w:num>
  <w:num w:numId="7">
    <w:abstractNumId w:val="29"/>
  </w:num>
  <w:num w:numId="8">
    <w:abstractNumId w:val="4"/>
  </w:num>
  <w:num w:numId="9">
    <w:abstractNumId w:val="2"/>
  </w:num>
  <w:num w:numId="10">
    <w:abstractNumId w:val="23"/>
  </w:num>
  <w:num w:numId="11">
    <w:abstractNumId w:val="26"/>
  </w:num>
  <w:num w:numId="12">
    <w:abstractNumId w:val="0"/>
  </w:num>
  <w:num w:numId="13">
    <w:abstractNumId w:val="17"/>
  </w:num>
  <w:num w:numId="14">
    <w:abstractNumId w:val="16"/>
  </w:num>
  <w:num w:numId="15">
    <w:abstractNumId w:val="21"/>
  </w:num>
  <w:num w:numId="16">
    <w:abstractNumId w:val="9"/>
  </w:num>
  <w:num w:numId="17">
    <w:abstractNumId w:val="8"/>
  </w:num>
  <w:num w:numId="18">
    <w:abstractNumId w:val="19"/>
  </w:num>
  <w:num w:numId="19">
    <w:abstractNumId w:val="10"/>
  </w:num>
  <w:num w:numId="20">
    <w:abstractNumId w:val="30"/>
  </w:num>
  <w:num w:numId="21">
    <w:abstractNumId w:val="20"/>
  </w:num>
  <w:num w:numId="22">
    <w:abstractNumId w:val="14"/>
  </w:num>
  <w:num w:numId="23">
    <w:abstractNumId w:val="25"/>
  </w:num>
  <w:num w:numId="24">
    <w:abstractNumId w:val="5"/>
  </w:num>
  <w:num w:numId="25">
    <w:abstractNumId w:val="24"/>
  </w:num>
  <w:num w:numId="26">
    <w:abstractNumId w:val="22"/>
  </w:num>
  <w:num w:numId="27">
    <w:abstractNumId w:val="27"/>
  </w:num>
  <w:num w:numId="28">
    <w:abstractNumId w:val="3"/>
  </w:num>
  <w:num w:numId="29">
    <w:abstractNumId w:val="7"/>
  </w:num>
  <w:num w:numId="30">
    <w:abstractNumId w:val="12"/>
  </w:num>
  <w:num w:numId="31">
    <w:abstractNumId w:val="18"/>
  </w:num>
  <w:numIdMacAtCleanup w:val="1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14C1"/>
    <w:rsid w:val="00034F03"/>
    <w:rsid w:val="000A64C2"/>
    <w:rsid w:val="000B3538"/>
    <w:rsid w:val="000D0FB1"/>
    <w:rsid w:val="00194310"/>
    <w:rsid w:val="001A35A9"/>
    <w:rsid w:val="001B1037"/>
    <w:rsid w:val="001B18B2"/>
    <w:rsid w:val="001B29F0"/>
    <w:rsid w:val="001C37B1"/>
    <w:rsid w:val="001E4462"/>
    <w:rsid w:val="001F4442"/>
    <w:rsid w:val="00201962"/>
    <w:rsid w:val="00246C63"/>
    <w:rsid w:val="00295574"/>
    <w:rsid w:val="002C02B1"/>
    <w:rsid w:val="002C1484"/>
    <w:rsid w:val="002C6C47"/>
    <w:rsid w:val="00315C3C"/>
    <w:rsid w:val="00376BF3"/>
    <w:rsid w:val="00391508"/>
    <w:rsid w:val="003A5470"/>
    <w:rsid w:val="003A55D6"/>
    <w:rsid w:val="003B0245"/>
    <w:rsid w:val="003C1EDB"/>
    <w:rsid w:val="003E08EC"/>
    <w:rsid w:val="003F3501"/>
    <w:rsid w:val="004736F8"/>
    <w:rsid w:val="00482B14"/>
    <w:rsid w:val="004D6ADA"/>
    <w:rsid w:val="004E1841"/>
    <w:rsid w:val="0052157F"/>
    <w:rsid w:val="005256AF"/>
    <w:rsid w:val="0053095A"/>
    <w:rsid w:val="00537D57"/>
    <w:rsid w:val="0055049F"/>
    <w:rsid w:val="00554556"/>
    <w:rsid w:val="005850CE"/>
    <w:rsid w:val="005B2CF0"/>
    <w:rsid w:val="005F2AF6"/>
    <w:rsid w:val="005F5AFE"/>
    <w:rsid w:val="00627A55"/>
    <w:rsid w:val="006345F5"/>
    <w:rsid w:val="00660105"/>
    <w:rsid w:val="006633AE"/>
    <w:rsid w:val="00675E17"/>
    <w:rsid w:val="0069405E"/>
    <w:rsid w:val="006A3532"/>
    <w:rsid w:val="006C5786"/>
    <w:rsid w:val="006C7CDC"/>
    <w:rsid w:val="006D4D16"/>
    <w:rsid w:val="007001D2"/>
    <w:rsid w:val="0071164C"/>
    <w:rsid w:val="00723921"/>
    <w:rsid w:val="00745A8D"/>
    <w:rsid w:val="007640C5"/>
    <w:rsid w:val="007751D4"/>
    <w:rsid w:val="007A47C8"/>
    <w:rsid w:val="008007EB"/>
    <w:rsid w:val="00822078"/>
    <w:rsid w:val="008630B9"/>
    <w:rsid w:val="0087274F"/>
    <w:rsid w:val="008818CF"/>
    <w:rsid w:val="00881ECE"/>
    <w:rsid w:val="00886898"/>
    <w:rsid w:val="00895490"/>
    <w:rsid w:val="008B5721"/>
    <w:rsid w:val="008E086D"/>
    <w:rsid w:val="008E13EE"/>
    <w:rsid w:val="008E3A72"/>
    <w:rsid w:val="00906F3F"/>
    <w:rsid w:val="00912D4E"/>
    <w:rsid w:val="00922D8D"/>
    <w:rsid w:val="00940265"/>
    <w:rsid w:val="009415DF"/>
    <w:rsid w:val="009853DD"/>
    <w:rsid w:val="009B201E"/>
    <w:rsid w:val="009C7229"/>
    <w:rsid w:val="00A035C8"/>
    <w:rsid w:val="00A11C6C"/>
    <w:rsid w:val="00A24650"/>
    <w:rsid w:val="00A46A8E"/>
    <w:rsid w:val="00A531AE"/>
    <w:rsid w:val="00A7621D"/>
    <w:rsid w:val="00AC1E28"/>
    <w:rsid w:val="00AC3234"/>
    <w:rsid w:val="00AF6EC7"/>
    <w:rsid w:val="00B0059F"/>
    <w:rsid w:val="00B017F6"/>
    <w:rsid w:val="00B12BF3"/>
    <w:rsid w:val="00B3158A"/>
    <w:rsid w:val="00B42E26"/>
    <w:rsid w:val="00B4654F"/>
    <w:rsid w:val="00B56AC1"/>
    <w:rsid w:val="00B63872"/>
    <w:rsid w:val="00B740D9"/>
    <w:rsid w:val="00B77AEE"/>
    <w:rsid w:val="00B92C1C"/>
    <w:rsid w:val="00BC2739"/>
    <w:rsid w:val="00BD3F01"/>
    <w:rsid w:val="00BE20A0"/>
    <w:rsid w:val="00BE5556"/>
    <w:rsid w:val="00C40B27"/>
    <w:rsid w:val="00C414C1"/>
    <w:rsid w:val="00CA0691"/>
    <w:rsid w:val="00CC2D45"/>
    <w:rsid w:val="00D20DD7"/>
    <w:rsid w:val="00D5461D"/>
    <w:rsid w:val="00D61CEF"/>
    <w:rsid w:val="00D86841"/>
    <w:rsid w:val="00D949B0"/>
    <w:rsid w:val="00D957EA"/>
    <w:rsid w:val="00DC17E2"/>
    <w:rsid w:val="00E210AF"/>
    <w:rsid w:val="00E551FF"/>
    <w:rsid w:val="00E64BE1"/>
    <w:rsid w:val="00E816FE"/>
    <w:rsid w:val="00E928A3"/>
    <w:rsid w:val="00EA05B8"/>
    <w:rsid w:val="00EB0776"/>
    <w:rsid w:val="00EE3C54"/>
    <w:rsid w:val="00EF0813"/>
    <w:rsid w:val="00F2214D"/>
    <w:rsid w:val="00F27922"/>
    <w:rsid w:val="00F41844"/>
    <w:rsid w:val="00F42F5B"/>
    <w:rsid w:val="00F53E5E"/>
    <w:rsid w:val="00F92E92"/>
    <w:rsid w:val="00F95EA7"/>
    <w:rsid w:val="00F960FE"/>
    <w:rsid w:val="00FA3411"/>
    <w:rsid w:val="00FB637D"/>
    <w:rsid w:val="00FD3384"/>
    <w:rsid w:val="00FD40AA"/>
    <w:rsid w:val="00FE0B57"/>
    <w:rsid w:val="00FF4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2C2CDA3-C23B-421C-9649-D89E7A60F9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A5470"/>
    <w:rPr>
      <w:rFonts w:ascii="Times New Roman" w:eastAsia="Times New Roman" w:hAnsi="Times New Roman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pPr>
      <w:keepNext/>
      <w:keepLines/>
      <w:spacing w:before="40"/>
      <w:outlineLvl w:val="1"/>
    </w:pPr>
    <w:rPr>
      <w:rFonts w:ascii="Calibri Light" w:eastAsia="Calibri" w:hAnsi="Calibri Light"/>
      <w:color w:val="2F5496"/>
      <w:sz w:val="26"/>
      <w:szCs w:val="26"/>
    </w:rPr>
  </w:style>
  <w:style w:type="paragraph" w:styleId="Nagwek3">
    <w:name w:val="heading 3"/>
    <w:basedOn w:val="Akapitzlist"/>
    <w:next w:val="Normalny"/>
    <w:link w:val="Nagwek3Znak"/>
    <w:qFormat/>
    <w:pPr>
      <w:spacing w:before="240" w:after="27" w:line="290" w:lineRule="auto"/>
      <w:ind w:left="0"/>
      <w:contextualSpacing/>
      <w:outlineLvl w:val="2"/>
    </w:pPr>
    <w:rPr>
      <w:rFonts w:ascii="Cambria" w:hAnsi="Cambria" w:cs="Cambria"/>
      <w:b/>
      <w:color w:val="000000"/>
      <w:sz w:val="24"/>
      <w:szCs w:val="24"/>
      <w:lang w:val="pl-PL"/>
    </w:rPr>
  </w:style>
  <w:style w:type="paragraph" w:styleId="Nagwek4">
    <w:name w:val="heading 4"/>
    <w:basedOn w:val="Normalny"/>
    <w:next w:val="Normalny"/>
    <w:link w:val="Nagwek4Znak"/>
    <w:qFormat/>
    <w:pPr>
      <w:keepNext/>
      <w:keepLines/>
      <w:spacing w:before="200"/>
      <w:outlineLvl w:val="3"/>
    </w:pPr>
    <w:rPr>
      <w:rFonts w:ascii="Cambria" w:hAnsi="Cambria"/>
      <w:b/>
      <w:bCs/>
      <w:i/>
      <w:iCs/>
      <w:color w:val="4F81BD"/>
      <w:sz w:val="20"/>
      <w:szCs w:val="20"/>
      <w:lang w:val="x-none"/>
    </w:rPr>
  </w:style>
  <w:style w:type="paragraph" w:styleId="Nagwek5">
    <w:name w:val="heading 5"/>
    <w:basedOn w:val="Normalny"/>
    <w:next w:val="Normalny"/>
    <w:link w:val="Nagwek5Znak"/>
    <w:qFormat/>
    <w:pPr>
      <w:keepNext/>
      <w:keepLines/>
      <w:spacing w:before="40" w:line="290" w:lineRule="auto"/>
      <w:ind w:left="10" w:hanging="10"/>
      <w:outlineLvl w:val="4"/>
    </w:pPr>
    <w:rPr>
      <w:rFonts w:ascii="Cambria" w:hAnsi="Cambria"/>
      <w:color w:val="365F91"/>
    </w:rPr>
  </w:style>
  <w:style w:type="paragraph" w:styleId="Nagwek6">
    <w:name w:val="heading 6"/>
    <w:basedOn w:val="Normalny"/>
    <w:next w:val="Normalny"/>
    <w:link w:val="Nagwek6Znak"/>
    <w:qFormat/>
    <w:pPr>
      <w:keepNext/>
      <w:keepLines/>
      <w:spacing w:before="200" w:after="40" w:line="259" w:lineRule="auto"/>
      <w:jc w:val="right"/>
      <w:outlineLvl w:val="5"/>
    </w:pPr>
    <w:rPr>
      <w:rFonts w:ascii="Calibri" w:eastAsia="Calibri" w:hAnsi="Calibri" w:cs="Calibri"/>
      <w:b/>
      <w:color w:val="000000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kapitzlistZnak">
    <w:name w:val="Akapit z listą Znak"/>
    <w:link w:val="Akapitzlist"/>
    <w:qFormat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Domylnaczcionkaakapitu1">
    <w:name w:val="Domyślna czcionka akapitu1"/>
    <w:qFormat/>
  </w:style>
  <w:style w:type="character" w:customStyle="1" w:styleId="TekstpodstawowywcityZnak">
    <w:name w:val="Tekst podstawowy wcięty Znak"/>
    <w:link w:val="Tekstpodstawowywcity"/>
    <w:qFormat/>
    <w:rPr>
      <w:lang w:val="x-none" w:eastAsia="x-none"/>
    </w:rPr>
  </w:style>
  <w:style w:type="character" w:customStyle="1" w:styleId="TekstdymkaZnak">
    <w:name w:val="Tekst dymka Znak"/>
    <w:link w:val="Tekstdymka"/>
    <w:qFormat/>
    <w:rPr>
      <w:rFonts w:ascii="Tahoma" w:eastAsia="Times New Roman" w:hAnsi="Tahoma" w:cs="Tahoma"/>
      <w:sz w:val="16"/>
      <w:szCs w:val="16"/>
    </w:rPr>
  </w:style>
  <w:style w:type="character" w:customStyle="1" w:styleId="ListParagraphChar">
    <w:name w:val="List Paragraph Char"/>
    <w:link w:val="Akapitzlist1"/>
    <w:qFormat/>
    <w:rPr>
      <w:sz w:val="22"/>
      <w:szCs w:val="22"/>
      <w:lang w:val="x-none" w:eastAsia="en-US"/>
    </w:rPr>
  </w:style>
  <w:style w:type="character" w:customStyle="1" w:styleId="NagwekZnak">
    <w:name w:val="Nagłówek Znak"/>
    <w:basedOn w:val="Domylnaczcionkaakapitu"/>
    <w:link w:val="Nagwek"/>
    <w:qFormat/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basedOn w:val="Domylnaczcionkaakapitu"/>
    <w:link w:val="Stopka"/>
    <w:qFormat/>
    <w:rPr>
      <w:rFonts w:ascii="Times New Roman" w:eastAsia="Times New Roman" w:hAnsi="Times New Roman"/>
      <w:sz w:val="24"/>
      <w:szCs w:val="24"/>
    </w:rPr>
  </w:style>
  <w:style w:type="character" w:styleId="Odwoaniedokomentarza">
    <w:name w:val="annotation reference"/>
    <w:basedOn w:val="Domylnaczcionkaakapitu"/>
    <w:qFormat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qFormat/>
    <w:rPr>
      <w:rFonts w:cs="Calibri"/>
      <w:color w:val="000000"/>
      <w:u w:val="none"/>
      <w:lang w:val="de-DE"/>
    </w:rPr>
  </w:style>
  <w:style w:type="character" w:customStyle="1" w:styleId="Nagwek4Znak">
    <w:name w:val="Nagłówek 4 Znak"/>
    <w:basedOn w:val="Domylnaczcionkaakapitu"/>
    <w:link w:val="Nagwek4"/>
    <w:qFormat/>
    <w:rPr>
      <w:rFonts w:ascii="Cambria" w:eastAsia="Times New Roman" w:hAnsi="Cambria"/>
      <w:b/>
      <w:bCs/>
      <w:i/>
      <w:iCs/>
      <w:color w:val="4F81BD"/>
      <w:lang w:val="x-none"/>
    </w:rPr>
  </w:style>
  <w:style w:type="character" w:customStyle="1" w:styleId="A2">
    <w:name w:val="A2"/>
    <w:qFormat/>
    <w:rPr>
      <w:rFonts w:cs="Siemens Sans"/>
      <w:color w:val="000000"/>
    </w:rPr>
  </w:style>
  <w:style w:type="character" w:customStyle="1" w:styleId="ZwykytekstZnak">
    <w:name w:val="Zwykły tekst Znak"/>
    <w:basedOn w:val="Domylnaczcionkaakapitu"/>
    <w:link w:val="Zwykytekst"/>
    <w:qFormat/>
    <w:rPr>
      <w:rFonts w:ascii="Arial" w:eastAsia="Calibri" w:hAnsi="Arial" w:cs="Arial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qFormat/>
    <w:rPr>
      <w:rFonts w:ascii="Times New Roman" w:eastAsia="Times New Roman" w:hAnsi="Times New Roman"/>
      <w:sz w:val="24"/>
      <w:szCs w:val="24"/>
    </w:rPr>
  </w:style>
  <w:style w:type="character" w:customStyle="1" w:styleId="Podpistabeli">
    <w:name w:val="Podpis tabeli_"/>
    <w:basedOn w:val="Domylnaczcionkaakapitu"/>
    <w:link w:val="Podpistabeli0"/>
    <w:qFormat/>
    <w:rPr>
      <w:rFonts w:ascii="Times New Roman" w:hAnsi="Times New Roman"/>
      <w:sz w:val="18"/>
      <w:szCs w:val="18"/>
      <w:shd w:val="clear" w:color="auto" w:fill="FFFFFF"/>
    </w:rPr>
  </w:style>
  <w:style w:type="character" w:customStyle="1" w:styleId="Nagwek2Znak">
    <w:name w:val="Nagłówek 2 Znak"/>
    <w:basedOn w:val="Domylnaczcionkaakapitu"/>
    <w:link w:val="Nagwek2"/>
    <w:qFormat/>
    <w:rPr>
      <w:rFonts w:ascii="Calibri Light" w:eastAsia="Calibri" w:hAnsi="Calibri Light" w:cs="Times New Roman"/>
      <w:color w:val="2F5496"/>
      <w:sz w:val="26"/>
      <w:szCs w:val="26"/>
    </w:rPr>
  </w:style>
  <w:style w:type="character" w:customStyle="1" w:styleId="Nagwek1Znak">
    <w:name w:val="Nagłówek 1 Znak"/>
    <w:basedOn w:val="Domylnaczcionkaakapitu"/>
    <w:link w:val="Nagwek1"/>
    <w:qFormat/>
    <w:rPr>
      <w:rFonts w:ascii="Arial" w:eastAsia="Times New Roman" w:hAnsi="Arial" w:cs="Arial"/>
      <w:b/>
      <w:bCs/>
      <w:kern w:val="2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qFormat/>
    <w:rPr>
      <w:rFonts w:ascii="Cambria" w:eastAsia="Times New Roman" w:hAnsi="Cambria" w:cs="Cambria"/>
      <w:b/>
      <w:color w:val="000000"/>
      <w:sz w:val="24"/>
      <w:szCs w:val="24"/>
    </w:rPr>
  </w:style>
  <w:style w:type="character" w:customStyle="1" w:styleId="Nagwek5Znak">
    <w:name w:val="Nagłówek 5 Znak"/>
    <w:basedOn w:val="Domylnaczcionkaakapitu"/>
    <w:link w:val="Nagwek5"/>
    <w:qFormat/>
    <w:rPr>
      <w:rFonts w:ascii="Cambria" w:eastAsia="Times New Roman" w:hAnsi="Cambria"/>
      <w:color w:val="365F91"/>
      <w:sz w:val="24"/>
      <w:szCs w:val="24"/>
    </w:rPr>
  </w:style>
  <w:style w:type="character" w:customStyle="1" w:styleId="Nagwek6Znak">
    <w:name w:val="Nagłówek 6 Znak"/>
    <w:basedOn w:val="Domylnaczcionkaakapitu"/>
    <w:link w:val="Nagwek6"/>
    <w:qFormat/>
    <w:rPr>
      <w:rFonts w:cs="Calibri"/>
      <w:b/>
      <w:color w:val="000000"/>
    </w:rPr>
  </w:style>
  <w:style w:type="character" w:customStyle="1" w:styleId="czeinternetowe">
    <w:name w:val="Łącze internetowe"/>
    <w:rPr>
      <w:color w:val="0000FF"/>
      <w:u w:val="single"/>
    </w:rPr>
  </w:style>
  <w:style w:type="character" w:styleId="Numerstrony">
    <w:name w:val="page number"/>
    <w:basedOn w:val="Domylnaczcionkaakapitu"/>
    <w:qFormat/>
  </w:style>
  <w:style w:type="character" w:customStyle="1" w:styleId="MapadokumentuZnak">
    <w:name w:val="Mapa dokumentu Znak"/>
    <w:basedOn w:val="Domylnaczcionkaakapitu"/>
    <w:link w:val="Mapadokumentu"/>
    <w:qFormat/>
    <w:rPr>
      <w:rFonts w:ascii="Tahoma" w:eastAsia="Times New Roman" w:hAnsi="Tahoma"/>
      <w:sz w:val="16"/>
      <w:szCs w:val="16"/>
      <w:lang w:val="x-none" w:eastAsia="x-none"/>
    </w:rPr>
  </w:style>
  <w:style w:type="character" w:customStyle="1" w:styleId="attributenametext">
    <w:name w:val="attribute_name_text"/>
    <w:qFormat/>
  </w:style>
  <w:style w:type="character" w:styleId="Pogrubienie">
    <w:name w:val="Strong"/>
    <w:uiPriority w:val="22"/>
    <w:qFormat/>
    <w:rPr>
      <w:b/>
      <w:bCs/>
    </w:rPr>
  </w:style>
  <w:style w:type="character" w:customStyle="1" w:styleId="fontstyle01">
    <w:name w:val="fontstyle01"/>
    <w:qFormat/>
    <w:rPr>
      <w:rFonts w:ascii="Helvetica" w:hAnsi="Helvetica"/>
      <w:b w:val="0"/>
      <w:bCs w:val="0"/>
      <w:i w:val="0"/>
      <w:iCs w:val="0"/>
      <w:color w:val="000000"/>
      <w:sz w:val="20"/>
      <w:szCs w:val="20"/>
    </w:rPr>
  </w:style>
  <w:style w:type="character" w:customStyle="1" w:styleId="fontstyle21">
    <w:name w:val="fontstyle21"/>
    <w:qFormat/>
    <w:rPr>
      <w:rFonts w:ascii="Arial" w:hAnsi="Arial" w:cs="Arial"/>
      <w:b w:val="0"/>
      <w:bCs w:val="0"/>
      <w:i w:val="0"/>
      <w:iCs w:val="0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qFormat/>
    <w:rPr>
      <w:rFonts w:ascii="Times New Roman" w:eastAsia="Times New Roman" w:hAnsi="Times New Roman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qFormat/>
    <w:rPr>
      <w:vertAlign w:val="superscript"/>
    </w:rPr>
  </w:style>
  <w:style w:type="character" w:customStyle="1" w:styleId="style5">
    <w:name w:val="style5"/>
    <w:qFormat/>
  </w:style>
  <w:style w:type="character" w:customStyle="1" w:styleId="TytuZnak">
    <w:name w:val="Tytuł Znak"/>
    <w:link w:val="Tytu"/>
    <w:qFormat/>
    <w:rPr>
      <w:sz w:val="36"/>
    </w:rPr>
  </w:style>
  <w:style w:type="character" w:customStyle="1" w:styleId="TytuZnak1">
    <w:name w:val="Tytuł Znak1"/>
    <w:basedOn w:val="Domylnaczcionkaakapitu"/>
    <w:qFormat/>
    <w:rPr>
      <w:rFonts w:ascii="Calibri Light" w:eastAsia="Calibri" w:hAnsi="Calibri Light" w:cs="Times New Roman"/>
      <w:spacing w:val="-10"/>
      <w:kern w:val="2"/>
      <w:sz w:val="56"/>
      <w:szCs w:val="56"/>
    </w:rPr>
  </w:style>
  <w:style w:type="character" w:customStyle="1" w:styleId="UnresolvedMention1">
    <w:name w:val="Unresolved Mention1"/>
    <w:qFormat/>
    <w:rPr>
      <w:color w:val="605E5C"/>
      <w:shd w:val="clear" w:color="auto" w:fill="E1DFDD"/>
    </w:rPr>
  </w:style>
  <w:style w:type="character" w:customStyle="1" w:styleId="TematkomentarzaZnak">
    <w:name w:val="Temat komentarza Znak"/>
    <w:basedOn w:val="TekstkomentarzaZnak"/>
    <w:link w:val="Tematkomentarza"/>
    <w:qFormat/>
    <w:rPr>
      <w:rFonts w:ascii="Cambria" w:eastAsia="Times New Roman" w:hAnsi="Cambria" w:cs="Cambria"/>
      <w:b/>
      <w:bCs/>
      <w:color w:val="000000"/>
      <w:u w:val="none"/>
      <w:lang w:val="de-DE"/>
    </w:rPr>
  </w:style>
  <w:style w:type="character" w:customStyle="1" w:styleId="HTML-wstpniesformatowanyZnak">
    <w:name w:val="HTML - wstępnie sformatowany Znak"/>
    <w:qFormat/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BezodstpwZnak">
    <w:name w:val="Bez odstępów Znak"/>
    <w:link w:val="Bezodstpw"/>
    <w:qFormat/>
    <w:rPr>
      <w:rFonts w:ascii="Times New Roman" w:eastAsia="Times New Roman" w:hAnsi="Times New Roman"/>
      <w:sz w:val="24"/>
      <w:szCs w:val="24"/>
    </w:rPr>
  </w:style>
  <w:style w:type="character" w:customStyle="1" w:styleId="FontStyle41">
    <w:name w:val="Font Style41"/>
    <w:qFormat/>
    <w:rPr>
      <w:rFonts w:ascii="Calibri" w:hAnsi="Calibri" w:cs="Calibri"/>
      <w:sz w:val="18"/>
      <w:szCs w:val="18"/>
    </w:rPr>
  </w:style>
  <w:style w:type="character" w:customStyle="1" w:styleId="abcZnakZnak">
    <w:name w:val="abc Znak Znak"/>
    <w:qFormat/>
    <w:rPr>
      <w:rFonts w:ascii="Arial Narrow" w:eastAsia="Times New Roman" w:hAnsi="Arial Narrow"/>
      <w:b/>
      <w:color w:val="000000"/>
      <w:sz w:val="24"/>
      <w:szCs w:val="24"/>
    </w:rPr>
  </w:style>
  <w:style w:type="character" w:customStyle="1" w:styleId="normaltextrun">
    <w:name w:val="normaltextrun"/>
    <w:basedOn w:val="Domylnaczcionkaakapitu"/>
    <w:qFormat/>
  </w:style>
  <w:style w:type="character" w:customStyle="1" w:styleId="eop">
    <w:name w:val="eop"/>
    <w:basedOn w:val="Domylnaczcionkaakapitu"/>
    <w:qFormat/>
  </w:style>
  <w:style w:type="character" w:customStyle="1" w:styleId="normaltextrun1">
    <w:name w:val="normaltextrun1"/>
    <w:basedOn w:val="Domylnaczcionkaakapitu"/>
    <w:qFormat/>
  </w:style>
  <w:style w:type="character" w:customStyle="1" w:styleId="Nierozpoznanawzmianka1">
    <w:name w:val="Nierozpoznana wzmianka1"/>
    <w:qFormat/>
    <w:rPr>
      <w:color w:val="605E5C"/>
      <w:shd w:val="clear" w:color="auto" w:fill="E1DFDD"/>
    </w:rPr>
  </w:style>
  <w:style w:type="character" w:customStyle="1" w:styleId="Wzmianka1">
    <w:name w:val="Wzmianka1"/>
    <w:qFormat/>
    <w:rPr>
      <w:color w:val="2B579A"/>
      <w:shd w:val="clear" w:color="auto" w:fill="E1DFDD"/>
    </w:rPr>
  </w:style>
  <w:style w:type="character" w:customStyle="1" w:styleId="HTML-wstpniesformatowanyZnak1">
    <w:name w:val="HTML - wstępnie sformatowany Znak1"/>
    <w:link w:val="HTML-wstpniesformatowany"/>
    <w:qFormat/>
    <w:rPr>
      <w:rFonts w:ascii="Courier New" w:hAnsi="Courier New" w:cs="Courier New"/>
    </w:rPr>
  </w:style>
  <w:style w:type="character" w:customStyle="1" w:styleId="TekstdymkaZnak1">
    <w:name w:val="Tekst dymka Znak1"/>
    <w:qFormat/>
    <w:rPr>
      <w:rFonts w:ascii="Segoe UI" w:eastAsia="Calibri" w:hAnsi="Segoe UI" w:cs="Segoe UI"/>
      <w:color w:val="000000"/>
      <w:sz w:val="18"/>
      <w:szCs w:val="18"/>
    </w:rPr>
  </w:style>
  <w:style w:type="character" w:customStyle="1" w:styleId="TekstkomentarzaZnak1">
    <w:name w:val="Tekst komentarza Znak1"/>
    <w:qFormat/>
    <w:rPr>
      <w:rFonts w:ascii="Calibri" w:eastAsia="Calibri" w:hAnsi="Calibri" w:cs="Calibri"/>
      <w:color w:val="000000"/>
      <w:sz w:val="20"/>
      <w:szCs w:val="20"/>
    </w:rPr>
  </w:style>
  <w:style w:type="character" w:customStyle="1" w:styleId="TematkomentarzaZnak1">
    <w:name w:val="Temat komentarza Znak1"/>
    <w:qFormat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Odwiedzoneczeinternetowe">
    <w:name w:val="Odwiedzone łącze internetowe"/>
    <w:rPr>
      <w:color w:val="954F72"/>
      <w:u w:val="single"/>
    </w:rPr>
  </w:style>
  <w:style w:type="character" w:customStyle="1" w:styleId="NagwekZnak1">
    <w:name w:val="Nagłówek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StopkaZnak1">
    <w:name w:val="Stopka Znak1"/>
    <w:qFormat/>
    <w:rPr>
      <w:rFonts w:ascii="Cambria" w:eastAsia="Times New Roman" w:hAnsi="Cambria" w:cs="Cambria"/>
      <w:color w:val="000000"/>
      <w:sz w:val="24"/>
      <w:szCs w:val="24"/>
      <w:lang w:eastAsia="pl-PL"/>
    </w:rPr>
  </w:style>
  <w:style w:type="character" w:customStyle="1" w:styleId="HTML-wstpniesformatowanyZnak2">
    <w:name w:val="HTML - wstępnie sformatowany Znak2"/>
    <w:basedOn w:val="Domylnaczcionkaakapitu"/>
    <w:qFormat/>
    <w:rPr>
      <w:rFonts w:ascii="Consolas" w:eastAsia="Times New Roman" w:hAnsi="Consolas"/>
    </w:rPr>
  </w:style>
  <w:style w:type="character" w:customStyle="1" w:styleId="PodtytuZnak">
    <w:name w:val="Podtytuł Znak"/>
    <w:basedOn w:val="Domylnaczcionkaakapitu"/>
    <w:link w:val="Podtytu"/>
    <w:qFormat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Numeracjawierszy">
    <w:name w:val="Numeracja wierszy"/>
  </w:style>
  <w:style w:type="paragraph" w:styleId="Nagwek">
    <w:name w:val="header"/>
    <w:basedOn w:val="Normalny"/>
    <w:next w:val="Tekstpodstawowy"/>
    <w:link w:val="NagwekZnak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pPr>
      <w:spacing w:after="120"/>
    </w:pPr>
  </w:style>
  <w:style w:type="paragraph" w:styleId="Lista">
    <w:name w:val="List"/>
    <w:basedOn w:val="Tekstpodstawowy1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ascii="Arial" w:hAnsi="Arial" w:cs="Lucida Sans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ascii="Arial" w:hAnsi="Arial" w:cs="Lucida Sans"/>
      <w:sz w:val="22"/>
      <w:szCs w:val="19"/>
    </w:rPr>
  </w:style>
  <w:style w:type="paragraph" w:customStyle="1" w:styleId="Gwkaistopka">
    <w:name w:val="Główka i stopka"/>
    <w:basedOn w:val="Normalny"/>
    <w:qFormat/>
    <w:rPr>
      <w:rFonts w:ascii="Arial" w:hAnsi="Arial"/>
      <w:sz w:val="22"/>
      <w:szCs w:val="19"/>
    </w:rPr>
  </w:style>
  <w:style w:type="paragraph" w:styleId="Akapitzlist">
    <w:name w:val="List Paragraph"/>
    <w:basedOn w:val="Normalny"/>
    <w:link w:val="AkapitzlistZnak"/>
    <w:qFormat/>
    <w:pPr>
      <w:ind w:left="708"/>
    </w:pPr>
    <w:rPr>
      <w:sz w:val="20"/>
      <w:szCs w:val="20"/>
      <w:lang w:val="x-none"/>
    </w:rPr>
  </w:style>
  <w:style w:type="paragraph" w:styleId="Bezodstpw">
    <w:name w:val="No Spacing"/>
    <w:link w:val="BezodstpwZnak"/>
    <w:qFormat/>
    <w:rPr>
      <w:rFonts w:ascii="Times New Roman" w:eastAsia="Times New Roman" w:hAnsi="Times New Roman"/>
      <w:sz w:val="24"/>
      <w:szCs w:val="24"/>
    </w:rPr>
  </w:style>
  <w:style w:type="paragraph" w:styleId="Tekstpodstawowywcity">
    <w:name w:val="Body Text Indent"/>
    <w:basedOn w:val="Normalny"/>
    <w:link w:val="TekstpodstawowywcityZnak"/>
    <w:pPr>
      <w:spacing w:after="120" w:line="276" w:lineRule="auto"/>
      <w:ind w:left="283"/>
    </w:pPr>
    <w:rPr>
      <w:rFonts w:ascii="Calibri" w:eastAsia="Calibri" w:hAnsi="Calibri"/>
      <w:sz w:val="20"/>
      <w:szCs w:val="20"/>
      <w:lang w:val="x-none" w:eastAsia="x-none"/>
    </w:rPr>
  </w:style>
  <w:style w:type="paragraph" w:customStyle="1" w:styleId="Bezodstpw1">
    <w:name w:val="Bez odstępów1"/>
    <w:qFormat/>
    <w:rPr>
      <w:rFonts w:ascii="Cambria" w:eastAsia="Times New Roman" w:hAnsi="Cambria" w:cs="Cambria"/>
      <w:sz w:val="24"/>
      <w:szCs w:val="24"/>
      <w:lang w:val="cs-CZ"/>
    </w:rPr>
  </w:style>
  <w:style w:type="paragraph" w:styleId="NormalnyWeb">
    <w:name w:val="Normal (Web)"/>
    <w:basedOn w:val="Normalny"/>
    <w:qFormat/>
    <w:pPr>
      <w:widowControl w:val="0"/>
      <w:spacing w:before="280" w:after="280" w:line="100" w:lineRule="atLeast"/>
      <w:textAlignment w:val="baseline"/>
    </w:pPr>
    <w:rPr>
      <w:rFonts w:eastAsia="Andale Sans UI" w:cs="Tahoma"/>
      <w:kern w:val="2"/>
      <w:lang w:val="de-DE" w:eastAsia="fa-IR" w:bidi="fa-IR"/>
    </w:rPr>
  </w:style>
  <w:style w:type="paragraph" w:customStyle="1" w:styleId="Default">
    <w:name w:val="Default"/>
    <w:qFormat/>
    <w:rPr>
      <w:rFonts w:ascii="Siemens Sans" w:hAnsi="Siemens Sans" w:cs="Siemens Sans"/>
      <w:color w:val="000000"/>
      <w:sz w:val="24"/>
      <w:szCs w:val="24"/>
    </w:rPr>
  </w:style>
  <w:style w:type="paragraph" w:styleId="Tekstdymka">
    <w:name w:val="Balloon Text"/>
    <w:basedOn w:val="Normalny"/>
    <w:link w:val="TekstdymkaZnak"/>
    <w:qFormat/>
    <w:rPr>
      <w:rFonts w:ascii="Tahoma" w:hAnsi="Tahoma" w:cs="Tahoma"/>
      <w:sz w:val="16"/>
      <w:szCs w:val="16"/>
    </w:rPr>
  </w:style>
  <w:style w:type="paragraph" w:customStyle="1" w:styleId="Akapitzlist1">
    <w:name w:val="Akapit z listą1"/>
    <w:basedOn w:val="Normalny"/>
    <w:link w:val="ListParagraphChar"/>
    <w:qFormat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paragraph" w:styleId="Tekstkomentarza">
    <w:name w:val="annotation text"/>
    <w:basedOn w:val="Normalny"/>
    <w:link w:val="TekstkomentarzaZnak"/>
    <w:qFormat/>
    <w:pPr>
      <w:spacing w:after="200"/>
    </w:pPr>
    <w:rPr>
      <w:rFonts w:ascii="Calibri" w:eastAsia="Calibri" w:hAnsi="Calibri" w:cs="Calibri"/>
      <w:color w:val="000000"/>
      <w:sz w:val="20"/>
      <w:szCs w:val="20"/>
      <w:lang w:val="de-DE"/>
    </w:rPr>
  </w:style>
  <w:style w:type="paragraph" w:customStyle="1" w:styleId="Akapitzlist2">
    <w:name w:val="Akapit z listą2"/>
    <w:basedOn w:val="Normalny"/>
    <w:qFormat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x-none" w:eastAsia="en-US"/>
    </w:rPr>
  </w:style>
  <w:style w:type="paragraph" w:customStyle="1" w:styleId="AbsatzTableFormat">
    <w:name w:val="AbsatzTableFormat"/>
    <w:basedOn w:val="Normalny"/>
    <w:qFormat/>
    <w:rPr>
      <w:rFonts w:ascii="Arial" w:eastAsia="MS Mincho" w:hAnsi="Arial"/>
      <w:sz w:val="22"/>
      <w:szCs w:val="20"/>
    </w:rPr>
  </w:style>
  <w:style w:type="paragraph" w:customStyle="1" w:styleId="Pa16">
    <w:name w:val="Pa16"/>
    <w:basedOn w:val="Default"/>
    <w:next w:val="Default"/>
    <w:qFormat/>
    <w:pPr>
      <w:spacing w:line="241" w:lineRule="atLeast"/>
    </w:pPr>
    <w:rPr>
      <w:rFonts w:cs="Times New Roman"/>
      <w:color w:val="auto"/>
    </w:rPr>
  </w:style>
  <w:style w:type="paragraph" w:styleId="Zwykytekst">
    <w:name w:val="Plain Text"/>
    <w:basedOn w:val="Normalny"/>
    <w:link w:val="ZwykytekstZnak"/>
    <w:qFormat/>
    <w:rPr>
      <w:rFonts w:ascii="Arial" w:eastAsia="Calibri" w:hAnsi="Arial" w:cs="Arial"/>
      <w:sz w:val="20"/>
      <w:szCs w:val="20"/>
      <w:lang w:eastAsia="en-US"/>
    </w:rPr>
  </w:style>
  <w:style w:type="paragraph" w:customStyle="1" w:styleId="Standard">
    <w:name w:val="Standard"/>
    <w:qFormat/>
    <w:pPr>
      <w:widowControl w:val="0"/>
      <w:textAlignment w:val="baseline"/>
    </w:pPr>
    <w:rPr>
      <w:rFonts w:ascii="Times New Roman" w:eastAsia="SimSun" w:hAnsi="Times New Roman" w:cs="Mangal"/>
      <w:kern w:val="2"/>
      <w:sz w:val="24"/>
      <w:szCs w:val="24"/>
      <w:lang w:eastAsia="zh-CN" w:bidi="hi-IN"/>
    </w:rPr>
  </w:style>
  <w:style w:type="paragraph" w:customStyle="1" w:styleId="Podpistabeli0">
    <w:name w:val="Podpis tabeli"/>
    <w:basedOn w:val="Normalny"/>
    <w:link w:val="Podpistabeli"/>
    <w:qFormat/>
    <w:pPr>
      <w:widowControl w:val="0"/>
      <w:shd w:val="clear" w:color="auto" w:fill="FFFFFF"/>
      <w:spacing w:line="240" w:lineRule="atLeast"/>
    </w:pPr>
    <w:rPr>
      <w:rFonts w:eastAsia="Calibri"/>
      <w:sz w:val="18"/>
      <w:szCs w:val="18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  <w:rPr>
      <w:rFonts w:ascii="Arial" w:hAnsi="Arial"/>
      <w:sz w:val="22"/>
      <w:szCs w:val="19"/>
    </w:rPr>
  </w:style>
  <w:style w:type="paragraph" w:customStyle="1" w:styleId="western">
    <w:name w:val="western"/>
    <w:basedOn w:val="Normalny"/>
    <w:qFormat/>
    <w:pPr>
      <w:spacing w:before="280" w:after="142" w:line="276" w:lineRule="auto"/>
    </w:pPr>
  </w:style>
  <w:style w:type="paragraph" w:customStyle="1" w:styleId="tekstwstpny">
    <w:name w:val="tekst wstępny"/>
    <w:basedOn w:val="Normalny"/>
    <w:qFormat/>
    <w:pPr>
      <w:spacing w:before="60" w:after="60"/>
    </w:pPr>
    <w:rPr>
      <w:sz w:val="20"/>
      <w:szCs w:val="20"/>
    </w:rPr>
  </w:style>
  <w:style w:type="paragraph" w:styleId="Mapadokumentu">
    <w:name w:val="Document Map"/>
    <w:basedOn w:val="Normalny"/>
    <w:link w:val="MapadokumentuZnak"/>
    <w:qFormat/>
    <w:rPr>
      <w:rFonts w:ascii="Tahoma" w:hAnsi="Tahoma"/>
      <w:sz w:val="16"/>
      <w:szCs w:val="16"/>
      <w:lang w:val="x-none" w:eastAsia="x-none"/>
    </w:rPr>
  </w:style>
  <w:style w:type="paragraph" w:styleId="Tekstprzypisukocowego">
    <w:name w:val="endnote text"/>
    <w:basedOn w:val="Normalny"/>
    <w:link w:val="TekstprzypisukocowegoZnak"/>
    <w:rPr>
      <w:sz w:val="20"/>
      <w:szCs w:val="20"/>
    </w:rPr>
  </w:style>
  <w:style w:type="paragraph" w:customStyle="1" w:styleId="AK2">
    <w:name w:val="AK_2"/>
    <w:basedOn w:val="pp2"/>
    <w:qFormat/>
    <w:pPr>
      <w:ind w:left="540" w:firstLine="540"/>
    </w:pPr>
  </w:style>
  <w:style w:type="paragraph" w:customStyle="1" w:styleId="pp2">
    <w:name w:val="pp_2"/>
    <w:basedOn w:val="Normalny"/>
    <w:qFormat/>
    <w:pPr>
      <w:spacing w:before="120"/>
      <w:ind w:left="1078" w:hanging="539"/>
      <w:jc w:val="both"/>
      <w:textAlignment w:val="baseline"/>
    </w:pPr>
    <w:rPr>
      <w:rFonts w:eastAsia="Arial"/>
      <w:szCs w:val="20"/>
      <w:lang w:eastAsia="ar-SA"/>
    </w:rPr>
  </w:style>
  <w:style w:type="paragraph" w:styleId="Tytu">
    <w:name w:val="Title"/>
    <w:basedOn w:val="Normalny"/>
    <w:link w:val="TytuZnak"/>
    <w:qFormat/>
    <w:pPr>
      <w:widowControl w:val="0"/>
      <w:spacing w:before="160"/>
      <w:jc w:val="center"/>
    </w:pPr>
    <w:rPr>
      <w:rFonts w:ascii="Calibri" w:eastAsia="Calibri" w:hAnsi="Calibri"/>
      <w:sz w:val="36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qFormat/>
    <w:pPr>
      <w:spacing w:after="27"/>
      <w:ind w:left="10" w:hanging="10"/>
    </w:pPr>
    <w:rPr>
      <w:rFonts w:ascii="Cambria" w:eastAsia="Times New Roman" w:hAnsi="Cambria" w:cs="Cambria"/>
      <w:b/>
      <w:bCs/>
      <w:lang w:val="pl-PL"/>
    </w:rPr>
  </w:style>
  <w:style w:type="paragraph" w:styleId="Nagwekindeksu">
    <w:name w:val="index heading"/>
    <w:basedOn w:val="Nagwek"/>
  </w:style>
  <w:style w:type="paragraph" w:styleId="Nagwekspisutreci">
    <w:name w:val="TOC Heading"/>
    <w:basedOn w:val="Nagwek1"/>
    <w:next w:val="Normalny"/>
    <w:pPr>
      <w:keepNext w:val="0"/>
      <w:spacing w:before="0" w:after="27" w:line="259" w:lineRule="auto"/>
      <w:contextualSpacing/>
      <w:outlineLvl w:val="9"/>
    </w:pPr>
    <w:rPr>
      <w:rFonts w:ascii="Cambria" w:hAnsi="Cambria" w:cs="Cambria"/>
      <w:b w:val="0"/>
      <w:bCs w:val="0"/>
      <w:color w:val="000000"/>
      <w:kern w:val="0"/>
      <w:szCs w:val="24"/>
    </w:rPr>
  </w:style>
  <w:style w:type="paragraph" w:styleId="Spistreci1">
    <w:name w:val="toc 1"/>
    <w:basedOn w:val="Normalny"/>
    <w:next w:val="Normalny"/>
    <w:autoRedefine/>
    <w:pPr>
      <w:spacing w:after="100" w:line="290" w:lineRule="auto"/>
      <w:ind w:hanging="10"/>
    </w:pPr>
    <w:rPr>
      <w:rFonts w:ascii="Cambria" w:hAnsi="Cambria" w:cs="Cambria"/>
      <w:color w:val="000000"/>
    </w:rPr>
  </w:style>
  <w:style w:type="paragraph" w:styleId="Spistreci2">
    <w:name w:val="toc 2"/>
    <w:basedOn w:val="Normalny"/>
    <w:next w:val="Normalny"/>
    <w:autoRedefine/>
    <w:pPr>
      <w:spacing w:after="100" w:line="290" w:lineRule="auto"/>
      <w:ind w:left="220" w:hanging="10"/>
    </w:pPr>
    <w:rPr>
      <w:rFonts w:ascii="Cambria" w:hAnsi="Cambria" w:cs="Cambria"/>
      <w:color w:val="000000"/>
    </w:rPr>
  </w:style>
  <w:style w:type="paragraph" w:styleId="Spistreci3">
    <w:name w:val="toc 3"/>
    <w:basedOn w:val="Normalny"/>
    <w:next w:val="Normalny"/>
    <w:autoRedefine/>
    <w:pPr>
      <w:spacing w:after="100" w:line="290" w:lineRule="auto"/>
      <w:ind w:left="480" w:hanging="10"/>
    </w:pPr>
    <w:rPr>
      <w:rFonts w:ascii="Cambria" w:hAnsi="Cambria" w:cs="Cambria"/>
      <w:color w:val="000000"/>
    </w:rPr>
  </w:style>
  <w:style w:type="paragraph" w:customStyle="1" w:styleId="Tekstpodstawowy1">
    <w:name w:val="Tekst podstawowy1"/>
    <w:basedOn w:val="Normalny"/>
    <w:qFormat/>
    <w:rPr>
      <w:rFonts w:ascii="Arial" w:hAnsi="Arial"/>
      <w:sz w:val="20"/>
      <w:szCs w:val="20"/>
    </w:rPr>
  </w:style>
  <w:style w:type="paragraph" w:customStyle="1" w:styleId="TableParagraph">
    <w:name w:val="Table Paragraph"/>
    <w:basedOn w:val="Normalny"/>
    <w:qFormat/>
    <w:pPr>
      <w:widowControl w:val="0"/>
    </w:pPr>
    <w:rPr>
      <w:rFonts w:ascii="Carlito" w:eastAsia="Carlito" w:hAnsi="Carlito" w:cs="Carlito"/>
      <w:sz w:val="22"/>
      <w:szCs w:val="19"/>
      <w:lang w:eastAsia="en-US"/>
    </w:rPr>
  </w:style>
  <w:style w:type="paragraph" w:styleId="HTML-wstpniesformatowany">
    <w:name w:val="HTML Preformatted"/>
    <w:basedOn w:val="Normalny"/>
    <w:link w:val="HTML-wstpniesformatowanyZnak1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alibri" w:hAnsi="Courier New" w:cs="Courier New"/>
      <w:sz w:val="20"/>
      <w:szCs w:val="20"/>
    </w:rPr>
  </w:style>
  <w:style w:type="paragraph" w:customStyle="1" w:styleId="ZnakZnak5">
    <w:name w:val="Znak Znak5"/>
    <w:basedOn w:val="Normalny"/>
    <w:qFormat/>
  </w:style>
  <w:style w:type="paragraph" w:customStyle="1" w:styleId="abcZnak">
    <w:name w:val="abc Znak"/>
    <w:basedOn w:val="Normalny"/>
    <w:qFormat/>
    <w:pPr>
      <w:widowControl w:val="0"/>
    </w:pPr>
    <w:rPr>
      <w:rFonts w:ascii="Arial Narrow" w:hAnsi="Arial Narrow"/>
      <w:b/>
      <w:color w:val="000000"/>
    </w:rPr>
  </w:style>
  <w:style w:type="paragraph" w:customStyle="1" w:styleId="paragraph">
    <w:name w:val="paragraph"/>
    <w:basedOn w:val="Normalny"/>
    <w:qFormat/>
    <w:pPr>
      <w:spacing w:before="280" w:after="280"/>
    </w:pPr>
  </w:style>
  <w:style w:type="paragraph" w:styleId="Poprawka">
    <w:name w:val="Revision"/>
    <w:qFormat/>
    <w:pPr>
      <w:jc w:val="right"/>
    </w:pPr>
    <w:rPr>
      <w:rFonts w:ascii="Arial" w:eastAsia="Times New Roman" w:hAnsi="Arial"/>
      <w:sz w:val="19"/>
      <w:szCs w:val="19"/>
    </w:r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  <w:style w:type="paragraph" w:styleId="Indeks1">
    <w:name w:val="index 1"/>
    <w:basedOn w:val="Normalny"/>
    <w:next w:val="Normalny"/>
    <w:autoRedefine/>
    <w:qFormat/>
    <w:pPr>
      <w:ind w:left="240" w:hanging="240"/>
    </w:pPr>
    <w:rPr>
      <w:rFonts w:ascii="Cambria" w:hAnsi="Cambria" w:cs="Cambria"/>
      <w:color w:val="000000"/>
    </w:rPr>
  </w:style>
  <w:style w:type="paragraph" w:styleId="Lista-kontynuacja2">
    <w:name w:val="List Continue 2"/>
    <w:basedOn w:val="Normalny"/>
    <w:qFormat/>
    <w:pPr>
      <w:spacing w:after="120" w:line="259" w:lineRule="auto"/>
      <w:ind w:left="566"/>
      <w:contextualSpacing/>
      <w:jc w:val="right"/>
    </w:pPr>
    <w:rPr>
      <w:rFonts w:ascii="Calibri" w:eastAsia="Calibri" w:hAnsi="Calibri" w:cs="Calibri"/>
      <w:color w:val="000000"/>
      <w:sz w:val="19"/>
      <w:szCs w:val="19"/>
    </w:rPr>
  </w:style>
  <w:style w:type="paragraph" w:customStyle="1" w:styleId="msonormal0">
    <w:name w:val="msonormal"/>
    <w:basedOn w:val="Normalny"/>
    <w:qFormat/>
    <w:pPr>
      <w:spacing w:before="280" w:after="280"/>
    </w:pPr>
  </w:style>
  <w:style w:type="paragraph" w:customStyle="1" w:styleId="xl68">
    <w:name w:val="xl6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305496"/>
      <w:spacing w:before="280" w:after="280"/>
      <w:jc w:val="center"/>
      <w:textAlignment w:val="center"/>
    </w:pPr>
    <w:rPr>
      <w:rFonts w:ascii="Arial" w:hAnsi="Arial" w:cs="Arial"/>
      <w:b/>
      <w:bCs/>
      <w:color w:val="FFFFFF"/>
      <w:sz w:val="20"/>
      <w:szCs w:val="20"/>
    </w:rPr>
  </w:style>
  <w:style w:type="paragraph" w:customStyle="1" w:styleId="xl69">
    <w:name w:val="xl6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BDD7EE"/>
      <w:spacing w:before="280" w:after="280"/>
      <w:jc w:val="center"/>
      <w:textAlignment w:val="center"/>
    </w:pPr>
    <w:rPr>
      <w:rFonts w:ascii="Arial" w:hAnsi="Arial" w:cs="Arial"/>
      <w:b/>
      <w:bCs/>
      <w:sz w:val="20"/>
      <w:szCs w:val="20"/>
    </w:rPr>
  </w:style>
  <w:style w:type="paragraph" w:customStyle="1" w:styleId="xl70">
    <w:name w:val="xl7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top"/>
    </w:pPr>
    <w:rPr>
      <w:rFonts w:ascii="Arial" w:hAnsi="Arial" w:cs="Arial"/>
      <w:sz w:val="20"/>
      <w:szCs w:val="20"/>
    </w:rPr>
  </w:style>
  <w:style w:type="paragraph" w:customStyle="1" w:styleId="xl71">
    <w:name w:val="xl7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2">
    <w:name w:val="xl7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73">
    <w:name w:val="xl7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74">
    <w:name w:val="xl7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5">
    <w:name w:val="xl75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6">
    <w:name w:val="xl7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77">
    <w:name w:val="xl7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8">
    <w:name w:val="xl78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i/>
      <w:iCs/>
      <w:sz w:val="20"/>
      <w:szCs w:val="20"/>
    </w:rPr>
  </w:style>
  <w:style w:type="paragraph" w:customStyle="1" w:styleId="xl79">
    <w:name w:val="xl79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b/>
      <w:bCs/>
      <w:sz w:val="20"/>
      <w:szCs w:val="20"/>
    </w:rPr>
  </w:style>
  <w:style w:type="paragraph" w:customStyle="1" w:styleId="xl80">
    <w:name w:val="xl8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1">
    <w:name w:val="xl81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2">
    <w:name w:val="xl8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3">
    <w:name w:val="xl8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sz w:val="20"/>
      <w:szCs w:val="20"/>
    </w:rPr>
  </w:style>
  <w:style w:type="paragraph" w:customStyle="1" w:styleId="xl84">
    <w:name w:val="xl8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5">
    <w:name w:val="xl85"/>
    <w:basedOn w:val="Normalny"/>
    <w:qFormat/>
    <w:pPr>
      <w:spacing w:before="280" w:after="280"/>
    </w:pPr>
  </w:style>
  <w:style w:type="paragraph" w:customStyle="1" w:styleId="xl86">
    <w:name w:val="xl86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  <w:textAlignment w:val="center"/>
    </w:pPr>
    <w:rPr>
      <w:rFonts w:ascii="Arial" w:hAnsi="Arial" w:cs="Arial"/>
      <w:sz w:val="20"/>
      <w:szCs w:val="20"/>
    </w:rPr>
  </w:style>
  <w:style w:type="paragraph" w:customStyle="1" w:styleId="xl87">
    <w:name w:val="xl87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88">
    <w:name w:val="xl88"/>
    <w:basedOn w:val="Normalny"/>
    <w:qFormat/>
    <w:pPr>
      <w:pBdr>
        <w:top w:val="single" w:sz="8" w:space="0" w:color="000000"/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89">
    <w:name w:val="xl89"/>
    <w:basedOn w:val="Normalny"/>
    <w:qFormat/>
    <w:pPr>
      <w:pBdr>
        <w:left w:val="single" w:sz="8" w:space="0" w:color="000000"/>
        <w:bottom w:val="single" w:sz="8" w:space="0" w:color="000000"/>
        <w:right w:val="single" w:sz="8" w:space="0" w:color="000000"/>
      </w:pBdr>
      <w:spacing w:before="280" w:after="280"/>
      <w:textAlignment w:val="center"/>
    </w:pPr>
    <w:rPr>
      <w:rFonts w:ascii="Tahoma" w:hAnsi="Tahoma" w:cs="Tahoma"/>
      <w:sz w:val="20"/>
      <w:szCs w:val="20"/>
    </w:rPr>
  </w:style>
  <w:style w:type="paragraph" w:customStyle="1" w:styleId="xl90">
    <w:name w:val="xl90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1">
    <w:name w:val="xl91"/>
    <w:basedOn w:val="Normalny"/>
    <w:qFormat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  <w:rPr>
      <w:rFonts w:ascii="Arial" w:hAnsi="Arial" w:cs="Arial"/>
      <w:color w:val="000000"/>
      <w:sz w:val="20"/>
      <w:szCs w:val="20"/>
    </w:rPr>
  </w:style>
  <w:style w:type="paragraph" w:customStyle="1" w:styleId="xl92">
    <w:name w:val="xl92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280" w:after="280"/>
    </w:pPr>
  </w:style>
  <w:style w:type="paragraph" w:customStyle="1" w:styleId="xl93">
    <w:name w:val="xl93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  <w:rPr>
      <w:rFonts w:ascii="Arial" w:hAnsi="Arial" w:cs="Arial"/>
      <w:sz w:val="20"/>
      <w:szCs w:val="20"/>
    </w:rPr>
  </w:style>
  <w:style w:type="paragraph" w:customStyle="1" w:styleId="xl94">
    <w:name w:val="xl94"/>
    <w:basedOn w:val="Normalny"/>
    <w:qFormat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FFFF00"/>
      <w:spacing w:before="280" w:after="280"/>
    </w:pPr>
  </w:style>
  <w:style w:type="paragraph" w:styleId="Podtytu">
    <w:name w:val="Subtitle"/>
    <w:basedOn w:val="Normalny"/>
    <w:next w:val="Normalny"/>
    <w:link w:val="PodtytuZnak"/>
    <w:qFormat/>
    <w:pPr>
      <w:keepNext/>
      <w:keepLines/>
      <w:spacing w:before="360" w:after="80" w:line="259" w:lineRule="auto"/>
      <w:jc w:val="right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StandardowyArial11">
    <w:name w:val="Standardowy + Arial 11"/>
    <w:basedOn w:val="tekstwstpny"/>
    <w:qFormat/>
    <w:pPr>
      <w:tabs>
        <w:tab w:val="left" w:pos="360"/>
      </w:tabs>
      <w:ind w:left="360" w:hanging="360"/>
      <w:jc w:val="both"/>
    </w:pPr>
    <w:rPr>
      <w:rFonts w:ascii="Arial" w:hAnsi="Arial" w:cs="Arial"/>
      <w:sz w:val="22"/>
      <w:szCs w:val="22"/>
    </w:rPr>
  </w:style>
  <w:style w:type="numbering" w:customStyle="1" w:styleId="Styl1">
    <w:name w:val="Styl1"/>
    <w:qFormat/>
  </w:style>
  <w:style w:type="numbering" w:customStyle="1" w:styleId="Biecalista1">
    <w:name w:val="Bieżąca lista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13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684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58809B-AAAC-4033-9868-476E7187B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155</TotalTime>
  <Pages>8</Pages>
  <Words>2311</Words>
  <Characters>13870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MZ. Zapłotna</dc:creator>
  <dc:description/>
  <cp:lastModifiedBy>Marta MZ. Zapłotna</cp:lastModifiedBy>
  <cp:revision>17</cp:revision>
  <cp:lastPrinted>2024-07-05T12:13:00Z</cp:lastPrinted>
  <dcterms:created xsi:type="dcterms:W3CDTF">2026-03-10T10:55:00Z</dcterms:created>
  <dcterms:modified xsi:type="dcterms:W3CDTF">2026-03-30T12:03:00Z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f6dbec8-95a8-4638-9f5f-bd076536645c_ActionId">
    <vt:lpwstr>58cf59a1-3d40-445e-804f-0ca24a154858</vt:lpwstr>
  </property>
  <property fmtid="{D5CDD505-2E9C-101B-9397-08002B2CF9AE}" pid="3" name="MSIP_Label_ff6dbec8-95a8-4638-9f5f-bd076536645c_ContentBits">
    <vt:lpwstr>0</vt:lpwstr>
  </property>
  <property fmtid="{D5CDD505-2E9C-101B-9397-08002B2CF9AE}" pid="4" name="MSIP_Label_ff6dbec8-95a8-4638-9f5f-bd076536645c_Enabled">
    <vt:lpwstr>true</vt:lpwstr>
  </property>
  <property fmtid="{D5CDD505-2E9C-101B-9397-08002B2CF9AE}" pid="5" name="MSIP_Label_ff6dbec8-95a8-4638-9f5f-bd076536645c_Method">
    <vt:lpwstr>Standard</vt:lpwstr>
  </property>
  <property fmtid="{D5CDD505-2E9C-101B-9397-08002B2CF9AE}" pid="6" name="MSIP_Label_ff6dbec8-95a8-4638-9f5f-bd076536645c_Name">
    <vt:lpwstr>Restricted - Default</vt:lpwstr>
  </property>
  <property fmtid="{D5CDD505-2E9C-101B-9397-08002B2CF9AE}" pid="7" name="MSIP_Label_ff6dbec8-95a8-4638-9f5f-bd076536645c_SetDate">
    <vt:lpwstr>2024-01-03T11:08:12Z</vt:lpwstr>
  </property>
  <property fmtid="{D5CDD505-2E9C-101B-9397-08002B2CF9AE}" pid="8" name="MSIP_Label_ff6dbec8-95a8-4638-9f5f-bd076536645c_SiteId">
    <vt:lpwstr>5dbf1add-202a-4b8d-815b-bf0fb024e033</vt:lpwstr>
  </property>
</Properties>
</file>