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6A8" w:rsidRPr="004046A8" w:rsidRDefault="004046A8" w:rsidP="004046A8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 w:rsidR="00E96429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16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 w:rsidR="00614A8D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6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</w:p>
    <w:p w:rsidR="004046A8" w:rsidRPr="004046A8" w:rsidRDefault="004046A8" w:rsidP="004046A8">
      <w:pPr>
        <w:suppressAutoHyphens w:val="0"/>
        <w:jc w:val="center"/>
        <w:rPr>
          <w:rFonts w:ascii="Arial" w:hAnsi="Arial" w:cs="Arial"/>
          <w:b/>
          <w:sz w:val="20"/>
        </w:rPr>
      </w:pPr>
      <w:r w:rsidRPr="004046A8">
        <w:rPr>
          <w:rFonts w:ascii="Arial" w:hAnsi="Arial" w:cs="Arial"/>
          <w:b/>
          <w:sz w:val="20"/>
        </w:rPr>
        <w:t>OPIS PRZEDMIOTU ZAMÓWIENIA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Zadanie nr </w:t>
      </w:r>
      <w:r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>1</w:t>
      </w:r>
    </w:p>
    <w:p w:rsidR="0079779E" w:rsidRDefault="0079779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96429" w:rsidRPr="00E96429" w:rsidRDefault="00E96429" w:rsidP="00E96429">
      <w:pPr>
        <w:suppressAutoHyphens w:val="0"/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E96429">
        <w:rPr>
          <w:rFonts w:ascii="Arial" w:eastAsia="Times New Roman" w:hAnsi="Arial" w:cs="Arial"/>
          <w:bCs/>
          <w:lang w:eastAsia="pl-PL"/>
        </w:rPr>
        <w:t>System zintegrowany do wykonania badań z biochemii i immunochemii</w:t>
      </w:r>
    </w:p>
    <w:p w:rsidR="004E3CF7" w:rsidRPr="004E3CF7" w:rsidRDefault="00E96429" w:rsidP="00E96429">
      <w:pPr>
        <w:pStyle w:val="NormalnyWeb"/>
        <w:spacing w:after="0"/>
        <w:rPr>
          <w:color w:val="auto"/>
          <w:lang w:val="cs-CZ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4046A8">
        <w:rPr>
          <w:rFonts w:ascii="Arial" w:hAnsi="Arial" w:cs="Arial"/>
          <w:b/>
          <w:bCs/>
          <w:sz w:val="20"/>
          <w:szCs w:val="20"/>
        </w:rPr>
        <w:t>(dzierżawa</w:t>
      </w:r>
      <w:r>
        <w:rPr>
          <w:rFonts w:ascii="Arial" w:hAnsi="Arial" w:cs="Arial"/>
          <w:b/>
          <w:bCs/>
          <w:sz w:val="20"/>
          <w:szCs w:val="20"/>
        </w:rPr>
        <w:t xml:space="preserve"> analizatora</w:t>
      </w:r>
      <w:r w:rsidR="004046A8">
        <w:rPr>
          <w:rFonts w:ascii="Arial" w:hAnsi="Arial" w:cs="Arial"/>
          <w:b/>
          <w:bCs/>
          <w:sz w:val="20"/>
          <w:szCs w:val="20"/>
        </w:rPr>
        <w:t>)</w:t>
      </w:r>
    </w:p>
    <w:p w:rsidR="0079779E" w:rsidRDefault="0079779E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p w:rsidR="0079779E" w:rsidRDefault="00C3486A">
      <w:pPr>
        <w:pStyle w:val="Listapunktowana3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 </w:t>
      </w:r>
      <w:r w:rsidR="00E96429">
        <w:rPr>
          <w:rFonts w:ascii="Arial" w:hAnsi="Arial" w:cs="Arial"/>
          <w:b/>
          <w:sz w:val="20"/>
          <w:szCs w:val="20"/>
        </w:rPr>
        <w:t>48</w:t>
      </w:r>
      <w:r>
        <w:rPr>
          <w:rFonts w:ascii="Arial" w:hAnsi="Arial" w:cs="Arial"/>
          <w:b/>
          <w:sz w:val="20"/>
          <w:szCs w:val="20"/>
        </w:rPr>
        <w:t xml:space="preserve"> miesięcy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8"/>
        <w:gridCol w:w="4283"/>
        <w:gridCol w:w="1265"/>
        <w:gridCol w:w="3238"/>
      </w:tblGrid>
      <w:tr w:rsidR="0079779E" w:rsidTr="003231A5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9779E" w:rsidTr="003231A5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BD795D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795D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  <w:tc>
          <w:tcPr>
            <w:tcW w:w="12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lang w:eastAsia="pl-PL"/>
              </w:rPr>
              <w:t xml:space="preserve">Analizator </w:t>
            </w:r>
            <w:r w:rsidR="00614A8D" w:rsidRPr="00002596">
              <w:rPr>
                <w:rFonts w:ascii="Arial" w:eastAsia="Times New Roman" w:hAnsi="Arial" w:cs="Arial"/>
                <w:lang w:eastAsia="pl-PL"/>
              </w:rPr>
              <w:t>nie starszy niż 202</w:t>
            </w:r>
            <w:r w:rsidRPr="00002596">
              <w:rPr>
                <w:rFonts w:ascii="Arial" w:eastAsia="Times New Roman" w:hAnsi="Arial" w:cs="Arial"/>
                <w:lang w:eastAsia="pl-PL"/>
              </w:rPr>
              <w:t>2 r</w:t>
            </w:r>
            <w:r w:rsidR="00614A8D" w:rsidRPr="00002596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9779E" w:rsidTr="004046A8">
        <w:trPr>
          <w:trHeight w:val="55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91657" w:rsidRPr="00B91657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System zintegrowany do wykonania wszystkich oznaczeń wymienionych w </w:t>
            </w:r>
            <w:r w:rsidRPr="00B9165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załączniku nr </w:t>
            </w:r>
            <w:r w:rsidRPr="00002596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9 do SWZ dla zadania nr 1</w:t>
            </w: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, zarządzany z jednego komputerowego stanowiska operatora.</w:t>
            </w:r>
          </w:p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System umożliwiający aspiracje materiału do badań biochemicznych i immunochemicznych z tej samej próbki bez konieczności przenoszenia próbki pomiędzy modułami. Pracujący w trybie pacjent po pacjencie.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Połączenie analizatorów i innych urządzeń wchodzących w skład systemu zintegrowanego ma zapewnić automatyczny przebieg procesu transportu i wykonania zleconych badań.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Wymiary zintegrowanego analizatora: długość nie więcej niż 2,5 metra, szerokość z przestrzenią serwisową nie więcej niż 1,9 metra.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52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System wyposażony w komputer z oprogramowaniem(baza danych pacjentów, program </w:t>
            </w:r>
            <w:proofErr w:type="gramStart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kontroli jakości</w:t>
            </w:r>
            <w:proofErr w:type="gramEnd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), UPS, drukarkę laserową z interfejsem LAN umożliwiają drukowanie z sieci.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Wymagana jest stacja uzdatniania wody, podłączona do analizatora, umożliwiająca prawidłową pracę analizatora w systemie. Podłączenie na koszt oferenta.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49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Dostawiani</w:t>
            </w:r>
            <w:r w:rsidR="00002596">
              <w:rPr>
                <w:rFonts w:ascii="Arial" w:eastAsia="Times New Roman" w:hAnsi="Arial" w:cs="Arial"/>
                <w:color w:val="000000"/>
                <w:lang w:eastAsia="pl-PL"/>
              </w:rPr>
              <w:t>e i wyjmowanie próbek z systemu</w:t>
            </w: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, bez przerywania ciągłości pracy analizatora. Możliwość jednoczesnego wstawienia do podajnika minimum 300 próbek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Wykonywanie oznaczeń w próbkach pierwotnych i wtórnych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Możliwość czytania </w:t>
            </w:r>
            <w:proofErr w:type="spellStart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barkodów</w:t>
            </w:r>
            <w:proofErr w:type="spellEnd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 z probówek, odczynników wewnętrzny skaner analizatora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Priorytetowe oznaczenie próbek CITO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Możliwość uzupełniania odczynników, próbek kontroli, kalibratorów bez przerywania pracy analizatora zapewniające ciągłość pracy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Zamawiający wymaga podłączenia analizatora/urządzenia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Analizator musi być wyposażony w wewnętrzne czytniki kodów kreskowych, umożliwiających identyfikację próbek. Koszty związane z zakupem odpowiednich licencji oprogramowania, sterowników i prac integracyjnych pokrywa Dostawca/Wykonawca analizatora/urządzenia.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49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Zapewnienie bezpłatnego udziału w programie </w:t>
            </w:r>
            <w:proofErr w:type="gramStart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Kontroli Jakości</w:t>
            </w:r>
            <w:proofErr w:type="gramEnd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Standlab</w:t>
            </w:r>
            <w:proofErr w:type="spellEnd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. Program </w:t>
            </w:r>
            <w:proofErr w:type="gramStart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kontroli jakości</w:t>
            </w:r>
            <w:proofErr w:type="gramEnd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 wewnątrzlaboratoryjnej dotyczący analizy statystycznej na dowolnych materiałach kontrolnych umożliwiający porównanie w grupie w obrębie takiej samej serii materiału kontrolnego.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Instrukcja </w:t>
            </w:r>
            <w:proofErr w:type="gramStart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obsługi , </w:t>
            </w:r>
            <w:proofErr w:type="gramEnd"/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oprogramowanie w języku polskim dla wszystkich elementów systemu dostarczona wraz z systemem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Zdalna diagnostyka serwisowa oferowanego systemu podłączona na koszt wykonawcy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B91657" w:rsidP="00B91657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Dostosowanie p</w:t>
            </w:r>
            <w:r w:rsidR="00853625"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omieszczenia, zabudowy meblowej, </w:t>
            </w:r>
            <w:r w:rsidRPr="00B91657">
              <w:rPr>
                <w:rFonts w:ascii="Arial" w:eastAsia="Times New Roman" w:hAnsi="Arial" w:cs="Arial"/>
                <w:color w:val="000000"/>
                <w:lang w:eastAsia="pl-PL"/>
              </w:rPr>
              <w:t>drogi transportu do zainstalowania analizatora na koszt wykonawcy.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Dzierżawa witryny chłodniczej</w:t>
            </w:r>
            <w:r w:rsidR="00B91657" w:rsidRPr="00B91657">
              <w:rPr>
                <w:rFonts w:ascii="Arial" w:eastAsia="Times New Roman" w:hAnsi="Arial" w:cs="Arial"/>
                <w:color w:val="000000"/>
                <w:lang w:eastAsia="pl-PL"/>
              </w:rPr>
              <w:t xml:space="preserve"> do przechowywania odczynników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BF08DE">
        <w:trPr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6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853625" w:rsidP="00853625">
            <w:pPr>
              <w:suppressAutoHyphens w:val="0"/>
              <w:spacing w:before="100" w:beforeAutospacing="1" w:after="142" w:line="288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ANALIZATOR BIOCHEMICZNY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853625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Wieloparametrowy analizator biochemiczny z modułem przystawki jonoselektywnej </w:t>
            </w:r>
          </w:p>
          <w:p w:rsidR="0079779E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ISE ( w jednej obudowie) do oznaczania jonów: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sodu, potasu, chloru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Analizator biochemiczny o wydajności łącznie z ISE nie mniejszej niż 1200 testów na godzinę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Metody pomiarowe: </w:t>
            </w:r>
            <w:r w:rsidRPr="0085362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fotometryczne, potencjometryczne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Możliwość oznaczeń w różnego rodzaju materiale biologicznym: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surowicy, moczu, osoczu, płynach z jam ciała, </w:t>
            </w:r>
            <w:proofErr w:type="spellStart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hemolizatach</w:t>
            </w:r>
            <w:proofErr w:type="spellEnd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, we krwi pełnej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C3486A">
        <w:trPr>
          <w:trHeight w:val="780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Dopuszcza się kuwety wielorazowego użytku, myte i sprawdzane na pokładzie analizatora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Analizator powinien posiadać: ciśnieniowy detektor skrzepów, </w:t>
            </w:r>
            <w:proofErr w:type="spellStart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mikroskrzepów</w:t>
            </w:r>
            <w:proofErr w:type="spellEnd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 badanej próbki oraz wykrywania bąbelków powietrza (piany) dla próbek.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3231A5">
        <w:trPr>
          <w:trHeight w:val="43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Wymagany jest system chłodzenia odczynników w analizatorze, umożliwiający przechowywanie rozpoczętych odczynników na pokładzie- max. temperatura 12ºC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Wymagane </w:t>
            </w:r>
            <w:proofErr w:type="gramStart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jest aby</w:t>
            </w:r>
            <w:proofErr w:type="gramEnd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 ilość miejsc chłodzonych na odczynniki, na pokładzie analizatora była nie mniejsza niż 60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A2FB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A2FB1" w:rsidTr="00C3486A">
        <w:trPr>
          <w:trHeight w:val="780"/>
          <w:jc w:val="center"/>
        </w:trPr>
        <w:tc>
          <w:tcPr>
            <w:tcW w:w="40" w:type="dxa"/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Odczynniki gotowe do użycia. Dopuszcza się wymagane przez producenta i Dobrej Praktyki Laboratoryjnej czynności mieszania i otwierania odczynników przed włożeniem na ich na pokład. 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A2FB1" w:rsidTr="00C3486A">
        <w:trPr>
          <w:trHeight w:val="780"/>
          <w:jc w:val="center"/>
        </w:trPr>
        <w:tc>
          <w:tcPr>
            <w:tcW w:w="40" w:type="dxa"/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Automatyczne powtarzanie, rozcieńczanie próbek przy przekroczeniu liniowości testu dla wyników tego wymagających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A2FB1" w:rsidTr="00C3486A">
        <w:trPr>
          <w:trHeight w:val="780"/>
          <w:jc w:val="center"/>
        </w:trPr>
        <w:tc>
          <w:tcPr>
            <w:tcW w:w="40" w:type="dxa"/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Możliwość uzupełniania odczynników, próbek kontroli, kalibratorów,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płynów systemowych bez przerywania pracy analizatora zapewniające ciągłość pracy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A2FB1" w:rsidTr="00C3486A">
        <w:trPr>
          <w:trHeight w:val="780"/>
          <w:jc w:val="center"/>
        </w:trPr>
        <w:tc>
          <w:tcPr>
            <w:tcW w:w="40" w:type="dxa"/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2FB1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Wbudowany system </w:t>
            </w:r>
            <w:proofErr w:type="gramStart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kontroli jakości</w:t>
            </w:r>
            <w:proofErr w:type="gramEnd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 wraz z analizą statystyczną i graficzną uzyskanych wyników, 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wykresy </w:t>
            </w:r>
            <w:proofErr w:type="spellStart"/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Levey-Jeningsa</w:t>
            </w:r>
            <w:proofErr w:type="spellEnd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, zasada </w:t>
            </w:r>
            <w:proofErr w:type="spellStart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Westgarda</w:t>
            </w:r>
            <w:proofErr w:type="spellEnd"/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2FB1" w:rsidRDefault="00BA2FB1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C3486A">
        <w:trPr>
          <w:trHeight w:val="780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Możliwość aplikacji dodatkowych testów na kanałach otwartych</w:t>
            </w:r>
            <w:proofErr w:type="gramStart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 ,dostępnych</w:t>
            </w:r>
            <w:proofErr w:type="gramEnd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 dla użytkownika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3231A5">
        <w:trPr>
          <w:trHeight w:val="667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BA2FB1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Wymagane jest stosowanie dedykowanych i wieloparametrowych materiałów kontrolnych, zapewnienie ciągłości tej samej serii materiału </w:t>
            </w:r>
            <w:proofErr w:type="gramStart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kontrolnego przez co</w:t>
            </w:r>
            <w:proofErr w:type="gramEnd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 najmniej rok czasu od pierwszej dostawy.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C273C" w:rsidTr="003231A5">
        <w:trPr>
          <w:trHeight w:val="539"/>
          <w:jc w:val="center"/>
        </w:trPr>
        <w:tc>
          <w:tcPr>
            <w:tcW w:w="40" w:type="dxa"/>
          </w:tcPr>
          <w:p w:rsidR="001C273C" w:rsidRDefault="001C273C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Default="007B29B8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C273C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Możliwość oznaczenia z probówki pierwotnej: 4, 7, 10 ml oraz zastosowanie kubeczków na surowicę np.0,5 i 2,0 ml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73C" w:rsidRDefault="001C273C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10296F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6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853625" w:rsidP="00853625">
            <w:pPr>
              <w:suppressAutoHyphens w:val="0"/>
              <w:spacing w:before="100" w:beforeAutospacing="1" w:after="142" w:line="288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ANALIZATOR IMMUNOCHEMICZNY</w:t>
            </w: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Wieloparametrowy analizator immunochemiczny o wydajności nie mniejszej niż 180 testów na godzinę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Metoda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 oznaczeń</w:t>
            </w: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: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853625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chemiluminescencja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Możliwość oznaczeń w różnego rodzaju materiale biologicznym: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surowicy, moczu, osoczu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Wymagany jest system chłodzenia odczynników w analizatorze, umożliwiający przechowywanie rozpoczętych odczynników na pokładzie - max. temperatura 12ºC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853625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Wymagane </w:t>
            </w:r>
            <w:proofErr w:type="gramStart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>jest aby</w:t>
            </w:r>
            <w:proofErr w:type="gramEnd"/>
            <w:r w:rsidRPr="00853625">
              <w:rPr>
                <w:rFonts w:ascii="Arial" w:eastAsia="Times New Roman" w:hAnsi="Arial" w:cs="Arial"/>
                <w:color w:val="000000"/>
                <w:lang w:eastAsia="pl-PL"/>
              </w:rPr>
              <w:t xml:space="preserve"> ilość miejsc chłodzonych na odczynniki, na pokładzie analizatora była nie mniejsza niż 45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002596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Odczynniki gotowe do użycia. Dopuszcza się wymagane przez producenta i Dobrej Praktyki Laboratoryjnej czynności mieszania i otwierania odczynników przed włożeniem na ich na pokład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002596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Pełna automatyzacja badań, z uwzględnieniem automatycznych powtórzeń, rozcieńczeń i zlecenia testów dodatkowych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002596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Analizator powinien posiadać: ciśnieniowy detektor skrzepów, </w:t>
            </w:r>
            <w:proofErr w:type="spellStart"/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mikroskrzepów</w:t>
            </w:r>
            <w:proofErr w:type="spellEnd"/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 badanej próbki oraz wykrywania bąbelków powietrza (piany) dla próbek.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002596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Wymaga się jednorazowych kuwet do przebiegu i odczytu reakcji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002596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Analizator wyposażony w końcówki jednorazowe lub system myjący zapobiegający kontaminacji progu istotnego klinicznie dla wykonywanych testów (potwierdzone w instrukcji obsługi)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002596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Wymagane jest stosowanie dedykowanych i wieloparametrowych materiałów kontrolnych, zapewnienie ciągłości tej samej serii materiału </w:t>
            </w:r>
            <w:proofErr w:type="gramStart"/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kontrolnego przez co</w:t>
            </w:r>
            <w:proofErr w:type="gramEnd"/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 najmniej rok czasu od pierwszej dostawy.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002596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Możliwość oznaczenia z probówki pierwotnej: 4, 7, 10 ml oraz zastosowanie kubeczków na surowicę np.0,5 i 2,0 ml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Pr="00002596" w:rsidRDefault="00002596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Stabilność odczynników na pokładzie analizatora minimum 21 dni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53625" w:rsidTr="003231A5">
        <w:trPr>
          <w:trHeight w:val="539"/>
          <w:jc w:val="center"/>
        </w:trPr>
        <w:tc>
          <w:tcPr>
            <w:tcW w:w="40" w:type="dxa"/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3625" w:rsidRDefault="0085362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2596" w:rsidRPr="00002596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 xml:space="preserve">Udział w zewnętrznej </w:t>
            </w:r>
            <w:proofErr w:type="gramStart"/>
            <w:r w:rsidRPr="00002596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kontroli jakości</w:t>
            </w:r>
            <w:proofErr w:type="gramEnd"/>
            <w:r w:rsidRPr="00002596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 xml:space="preserve"> LABQUALITY w zakresie parametrów biochemicznych i immunochemicznych potwierdzony certyfikatem. Koszt uczestnictwa pokrywa oferent.</w:t>
            </w:r>
          </w:p>
          <w:p w:rsidR="00002596" w:rsidRPr="00002596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Kontrole nr: 2700,2301,5094,5420,2540, 2050, 5641,2690</w:t>
            </w:r>
            <w:r>
              <w:rPr>
                <w:rFonts w:ascii="Arial" w:eastAsia="Times New Roman" w:hAnsi="Arial" w:cs="Arial"/>
                <w:bCs/>
                <w:color w:val="000000"/>
                <w:lang w:eastAsia="pl-PL"/>
              </w:rPr>
              <w:t xml:space="preserve"> </w:t>
            </w:r>
            <w:r w:rsidRPr="00002596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 xml:space="preserve">( Sprawdziany </w:t>
            </w:r>
            <w:proofErr w:type="spellStart"/>
            <w:r w:rsidRPr="00002596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Labquality</w:t>
            </w:r>
            <w:proofErr w:type="spellEnd"/>
            <w:r w:rsidRPr="00002596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 xml:space="preserve"> 2026)</w:t>
            </w:r>
          </w:p>
          <w:p w:rsidR="00853625" w:rsidRPr="00002596" w:rsidRDefault="00002596" w:rsidP="00853625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bCs/>
                <w:color w:val="000000"/>
                <w:lang w:eastAsia="pl-PL"/>
              </w:rPr>
              <w:lastRenderedPageBreak/>
              <w:t xml:space="preserve">Kontrole do HbA1C </w:t>
            </w:r>
            <w:proofErr w:type="spellStart"/>
            <w:r w:rsidRPr="00002596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Riqas</w:t>
            </w:r>
            <w:proofErr w:type="spellEnd"/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3625" w:rsidRDefault="0085362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02596" w:rsidTr="000A0E4A">
        <w:trPr>
          <w:trHeight w:val="539"/>
          <w:jc w:val="center"/>
        </w:trPr>
        <w:tc>
          <w:tcPr>
            <w:tcW w:w="40" w:type="dxa"/>
          </w:tcPr>
          <w:p w:rsidR="00002596" w:rsidRDefault="0000259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2596" w:rsidRDefault="0000259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6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2596" w:rsidRPr="00002596" w:rsidRDefault="00002596" w:rsidP="00002596">
            <w:pPr>
              <w:widowControl w:val="0"/>
              <w:jc w:val="center"/>
              <w:rPr>
                <w:rFonts w:ascii="Arial" w:hAnsi="Arial" w:cs="Arial"/>
                <w:b/>
                <w:color w:val="000000"/>
                <w:lang w:eastAsia="pl-PL"/>
              </w:rPr>
            </w:pPr>
            <w:r w:rsidRPr="00002596">
              <w:rPr>
                <w:rFonts w:ascii="Arial" w:hAnsi="Arial" w:cs="Arial"/>
                <w:b/>
                <w:color w:val="000000"/>
                <w:lang w:eastAsia="pl-PL"/>
              </w:rPr>
              <w:t>Parametry oceniane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002596" w:rsidP="003231A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  <w:r w:rsidR="00C348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2596" w:rsidRPr="00002596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Oznaczenia: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anty-HCV, </w:t>
            </w:r>
            <w:proofErr w:type="spellStart"/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HbsAg</w:t>
            </w:r>
            <w:proofErr w:type="spellEnd"/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, HIV bez tzw.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”szarej strefy”,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posiadające jednoznaczną interpretację wyniku reaktywny/niereaktywny,</w:t>
            </w:r>
            <w:r w:rsidRPr="00002596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w pierwszym oznaczeniu</w:t>
            </w:r>
          </w:p>
          <w:p w:rsidR="0079779E" w:rsidRPr="00002596" w:rsidRDefault="007B29B8" w:rsidP="007B29B8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02596">
              <w:rPr>
                <w:rFonts w:ascii="Arial" w:hAnsi="Arial" w:cs="Arial"/>
                <w:sz w:val="22"/>
                <w:szCs w:val="22"/>
                <w:u w:val="single"/>
                <w:lang w:eastAsia="en-US"/>
              </w:rPr>
              <w:t xml:space="preserve"> </w:t>
            </w:r>
            <w:r w:rsidR="00C3486A" w:rsidRPr="00002596"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  <w:t>Zasady oceny punktowej:</w:t>
            </w:r>
          </w:p>
          <w:p w:rsidR="00002596" w:rsidRPr="00002596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TAK „szara strefa”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- 0 pkt</w:t>
            </w:r>
          </w:p>
          <w:p w:rsidR="0079779E" w:rsidRPr="00002596" w:rsidRDefault="00002596" w:rsidP="001C273C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Brak „szarej strefy’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- 10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3231A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  <w:r w:rsidR="00C3486A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002596" w:rsidP="003231A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  <w:r w:rsidR="00C348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2596" w:rsidRPr="00002596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 xml:space="preserve">Wszystkie zaoferowane odczynniki, kalibratory, dedykowane materiały kontrolne immunochemiczne w postaci płynnej, gotowej do użycia bez konieczności </w:t>
            </w:r>
            <w:proofErr w:type="spellStart"/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rekonstytucji</w:t>
            </w:r>
            <w:proofErr w:type="spellEnd"/>
          </w:p>
          <w:p w:rsidR="0079779E" w:rsidRPr="00002596" w:rsidRDefault="007B29B8" w:rsidP="007B29B8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02596">
              <w:rPr>
                <w:rFonts w:ascii="Arial" w:hAnsi="Arial" w:cs="Arial"/>
                <w:sz w:val="22"/>
                <w:szCs w:val="22"/>
                <w:u w:val="single"/>
                <w:lang w:eastAsia="en-US"/>
              </w:rPr>
              <w:t xml:space="preserve"> </w:t>
            </w:r>
            <w:r w:rsidR="00C3486A" w:rsidRPr="00002596"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  <w:t>Zasady oceny punktowej:</w:t>
            </w:r>
          </w:p>
          <w:p w:rsidR="00002596" w:rsidRPr="00002596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Tak – 10 pkt</w:t>
            </w:r>
          </w:p>
          <w:p w:rsidR="0079779E" w:rsidRPr="00002596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Nie -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3231A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  <w:r w:rsidR="00C3486A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002596" w:rsidP="003231A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  <w:r w:rsidR="00C348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31A5" w:rsidRPr="00002596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Możliwość wykonania testów biochemicznych przed immunochemicznymi</w:t>
            </w:r>
            <w:r w:rsidR="007B29B8" w:rsidRPr="00002596">
              <w:rPr>
                <w:rFonts w:ascii="Arial" w:hAnsi="Arial" w:cs="Arial"/>
                <w:u w:val="single"/>
              </w:rPr>
              <w:t xml:space="preserve"> </w:t>
            </w:r>
          </w:p>
          <w:p w:rsidR="0079779E" w:rsidRPr="00002596" w:rsidRDefault="00C3486A" w:rsidP="007B29B8">
            <w:pPr>
              <w:pStyle w:val="Bezodstpw"/>
              <w:widowControl w:val="0"/>
              <w:rPr>
                <w:rFonts w:ascii="Arial" w:hAnsi="Arial" w:cs="Arial"/>
                <w:b/>
                <w:szCs w:val="22"/>
                <w:u w:val="single"/>
                <w:lang w:eastAsia="en-US"/>
              </w:rPr>
            </w:pPr>
            <w:r w:rsidRPr="00002596">
              <w:rPr>
                <w:rFonts w:ascii="Arial" w:hAnsi="Arial" w:cs="Arial"/>
                <w:b/>
                <w:szCs w:val="22"/>
                <w:u w:val="single"/>
                <w:lang w:eastAsia="en-US"/>
              </w:rPr>
              <w:t>Zasady oceny punktowej:</w:t>
            </w:r>
          </w:p>
          <w:p w:rsidR="00002596" w:rsidRPr="00002596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Tak – 10 pkt</w:t>
            </w:r>
          </w:p>
          <w:p w:rsidR="0079779E" w:rsidRPr="00002596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lang w:eastAsia="pl-PL"/>
              </w:rPr>
            </w:pPr>
            <w:r w:rsidRPr="00002596">
              <w:rPr>
                <w:rFonts w:ascii="Arial" w:eastAsia="Times New Roman" w:hAnsi="Arial" w:cs="Arial"/>
                <w:color w:val="000000"/>
                <w:lang w:eastAsia="pl-PL"/>
              </w:rPr>
              <w:t>Nie - 0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3231A5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</w:t>
            </w:r>
            <w:r w:rsidR="00C3486A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046A8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tbl>
      <w:tblPr>
        <w:tblW w:w="9495" w:type="dxa"/>
        <w:jc w:val="center"/>
        <w:tblLayout w:type="fixed"/>
        <w:tblCellMar>
          <w:left w:w="15" w:type="dxa"/>
          <w:right w:w="15" w:type="dxa"/>
        </w:tblCellMar>
        <w:tblLook w:val="00A0" w:firstRow="1" w:lastRow="0" w:firstColumn="1" w:lastColumn="0" w:noHBand="0" w:noVBand="0"/>
      </w:tblPr>
      <w:tblGrid>
        <w:gridCol w:w="9445"/>
        <w:gridCol w:w="50"/>
      </w:tblGrid>
      <w:tr w:rsidR="004046A8" w:rsidTr="003231A5">
        <w:trPr>
          <w:trHeight w:val="284"/>
          <w:jc w:val="center"/>
        </w:trPr>
        <w:tc>
          <w:tcPr>
            <w:tcW w:w="947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E5F1" w:themeFill="accent1" w:themeFillTint="33"/>
            <w:vAlign w:val="center"/>
          </w:tcPr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231A5">
              <w:rPr>
                <w:rFonts w:ascii="Arial" w:hAnsi="Arial" w:cs="Arial"/>
                <w:b/>
                <w:sz w:val="20"/>
                <w:szCs w:val="20"/>
              </w:rPr>
              <w:t>WARUNKI GWARANCJI I SERWISU ORAZ SZKOLENIE</w:t>
            </w:r>
          </w:p>
        </w:tc>
        <w:tc>
          <w:tcPr>
            <w:tcW w:w="18" w:type="dxa"/>
            <w:tcBorders>
              <w:top w:val="single" w:sz="2" w:space="0" w:color="000000"/>
            </w:tcBorders>
          </w:tcPr>
          <w:p w:rsidR="004046A8" w:rsidRDefault="004046A8" w:rsidP="00186832">
            <w:pPr>
              <w:widowControl w:val="0"/>
            </w:pPr>
          </w:p>
        </w:tc>
      </w:tr>
    </w:tbl>
    <w:p w:rsidR="0079779E" w:rsidRDefault="0079779E">
      <w:pPr>
        <w:pStyle w:val="Tekstpodstawowy"/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733"/>
        <w:gridCol w:w="6243"/>
        <w:gridCol w:w="632"/>
        <w:gridCol w:w="2046"/>
      </w:tblGrid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 w:rsidRPr="003231A5">
              <w:rPr>
                <w:rFonts w:ascii="Arial" w:hAnsi="Arial" w:cs="Arial"/>
                <w:sz w:val="20"/>
              </w:rPr>
              <w:t xml:space="preserve">Czas reakcji serwisu na zgłoszenie (nie dłużej niż </w:t>
            </w:r>
            <w:r w:rsidR="007B29B8" w:rsidRPr="003231A5">
              <w:rPr>
                <w:rFonts w:ascii="Arial" w:hAnsi="Arial" w:cs="Arial"/>
                <w:sz w:val="20"/>
              </w:rPr>
              <w:t>24</w:t>
            </w:r>
            <w:r w:rsidRPr="003231A5">
              <w:rPr>
                <w:rFonts w:ascii="Arial" w:hAnsi="Arial" w:cs="Arial"/>
                <w:sz w:val="20"/>
              </w:rPr>
              <w:t xml:space="preserve"> godz.)</w:t>
            </w:r>
          </w:p>
          <w:p w:rsidR="007B29B8" w:rsidRPr="003231A5" w:rsidRDefault="007B29B8" w:rsidP="007B29B8">
            <w:pPr>
              <w:suppressAutoHyphens w:val="0"/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B29B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Bezpłatny serwis dostępny w ciągu 24 godzin od zgłoszenia awarii. Czas oczekiwania na serwis nie dłuższy niż 24 godziny</w:t>
            </w:r>
          </w:p>
          <w:p w:rsidR="0079779E" w:rsidRPr="003231A5" w:rsidRDefault="0079779E">
            <w:pPr>
              <w:pStyle w:val="Bezodstpw"/>
              <w:widowControl w:val="0"/>
              <w:rPr>
                <w:rFonts w:ascii="Arial" w:hAnsi="Arial" w:cs="Arial"/>
                <w:color w:val="FF0000"/>
                <w:sz w:val="20"/>
                <w:shd w:val="clear" w:color="auto" w:fill="FFFF0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B29B8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B29B8" w:rsidRDefault="007B29B8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B29B8" w:rsidRPr="00BD795D" w:rsidRDefault="00002596" w:rsidP="00002596">
            <w:pPr>
              <w:suppressAutoHyphens w:val="0"/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D79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Serwis analizatora dostępny „on </w:t>
            </w:r>
            <w:proofErr w:type="spellStart"/>
            <w:r w:rsidRPr="00BD79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line</w:t>
            </w:r>
            <w:proofErr w:type="spellEnd"/>
            <w:r w:rsidRPr="00BD79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” w celu monitorowania prawidłowej pracy analizatorów,</w:t>
            </w:r>
            <w:r w:rsidR="00BD79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bookmarkStart w:id="0" w:name="_GoBack"/>
            <w:bookmarkEnd w:id="0"/>
            <w:r w:rsidRPr="00BD79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szybszego diagnozowania pojawiających się usterek,</w:t>
            </w:r>
            <w:r w:rsidR="00BD79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D79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wsparcia technicznego i merytorycznego jak i działań serwisowych </w:t>
            </w:r>
            <w:proofErr w:type="gramStart"/>
            <w:r w:rsidRPr="00BD79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wymagających</w:t>
            </w:r>
            <w:proofErr w:type="gramEnd"/>
            <w:r w:rsidRPr="00BD795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przyjazdu Inżyniera Serwisu.</w:t>
            </w:r>
            <w:r w:rsidRPr="00BD795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B29B8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B29B8" w:rsidRDefault="007B29B8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79779E" w:rsidRPr="003231A5" w:rsidRDefault="00C3486A" w:rsidP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="007B29B8" w:rsidRPr="003231A5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 w:rsidP="007B29B8">
            <w:pPr>
              <w:pStyle w:val="NormalnyWeb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>Wydzierżawiający zobowiązany jest do wykonania be</w:t>
            </w:r>
            <w:r w:rsidR="007B29B8" w:rsidRPr="003231A5">
              <w:rPr>
                <w:rFonts w:ascii="Arial" w:hAnsi="Arial" w:cs="Arial"/>
                <w:sz w:val="20"/>
                <w:szCs w:val="20"/>
              </w:rPr>
              <w:t>zpłatnych przeglądów okresowych</w:t>
            </w:r>
            <w:r w:rsidRPr="003231A5">
              <w:rPr>
                <w:rFonts w:ascii="Arial" w:hAnsi="Arial" w:cs="Arial"/>
                <w:sz w:val="20"/>
                <w:szCs w:val="20"/>
              </w:rPr>
              <w:t xml:space="preserve">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</w:t>
            </w:r>
            <w:r w:rsidR="007B29B8" w:rsidRPr="003231A5">
              <w:rPr>
                <w:rFonts w:ascii="Arial" w:hAnsi="Arial" w:cs="Arial"/>
                <w:sz w:val="20"/>
                <w:szCs w:val="20"/>
              </w:rPr>
              <w:t xml:space="preserve"> zgodnie z zaleceniami producenta( min 1 raz w roku)</w:t>
            </w:r>
            <w:r w:rsidRPr="003231A5">
              <w:rPr>
                <w:rFonts w:ascii="Arial" w:hAnsi="Arial" w:cs="Arial"/>
                <w:sz w:val="20"/>
                <w:szCs w:val="20"/>
              </w:rPr>
              <w:t>. Podać ilość punktów serwisowych w Polsce, ich siedzibę oraz sposób kontaktu (</w:t>
            </w:r>
            <w:proofErr w:type="spellStart"/>
            <w:r w:rsidRPr="003231A5">
              <w:rPr>
                <w:rFonts w:ascii="Arial" w:hAnsi="Arial" w:cs="Arial"/>
                <w:sz w:val="20"/>
                <w:szCs w:val="20"/>
              </w:rPr>
              <w:t>tel</w:t>
            </w:r>
            <w:proofErr w:type="spellEnd"/>
            <w:r w:rsidRPr="003231A5">
              <w:rPr>
                <w:rFonts w:ascii="Arial" w:hAnsi="Arial" w:cs="Arial"/>
                <w:sz w:val="20"/>
                <w:szCs w:val="20"/>
              </w:rPr>
              <w:t>, fax, e-mail)).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231A5"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7B29B8">
            <w:pPr>
              <w:widowControl w:val="0"/>
              <w:spacing w:line="252" w:lineRule="auto"/>
              <w:ind w:left="69"/>
            </w:pPr>
            <w:r>
              <w:t>9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Pr="003231A5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3231A5">
              <w:rPr>
                <w:rFonts w:ascii="Arial" w:hAnsi="Arial" w:cs="Arial"/>
                <w:sz w:val="20"/>
                <w:szCs w:val="20"/>
              </w:rPr>
              <w:t xml:space="preserve">Przeprowadzenie bezpłatnego szkolenia </w:t>
            </w:r>
            <w:proofErr w:type="gramStart"/>
            <w:r w:rsidRPr="003231A5">
              <w:rPr>
                <w:rFonts w:ascii="Arial" w:hAnsi="Arial" w:cs="Arial"/>
                <w:sz w:val="20"/>
                <w:szCs w:val="20"/>
              </w:rPr>
              <w:t>użytkowników  pracujących</w:t>
            </w:r>
            <w:proofErr w:type="gramEnd"/>
            <w:r w:rsidRPr="003231A5">
              <w:rPr>
                <w:rFonts w:ascii="Arial" w:hAnsi="Arial" w:cs="Arial"/>
                <w:sz w:val="20"/>
                <w:szCs w:val="20"/>
              </w:rPr>
              <w:t xml:space="preserve"> w trybie zmianowym w czasie umożliwiającym przeszkolenie całego personelu </w:t>
            </w:r>
            <w:r w:rsidR="003231A5" w:rsidRPr="003231A5">
              <w:rPr>
                <w:rFonts w:ascii="Arial" w:hAnsi="Arial" w:cs="Arial"/>
                <w:sz w:val="20"/>
                <w:szCs w:val="20"/>
              </w:rPr>
              <w:t xml:space="preserve">laboratorium </w:t>
            </w:r>
            <w:r w:rsidRPr="003231A5">
              <w:rPr>
                <w:rFonts w:ascii="Arial" w:hAnsi="Arial" w:cs="Arial"/>
                <w:sz w:val="20"/>
                <w:szCs w:val="20"/>
              </w:rPr>
              <w:t>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3231A5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79779E" w:rsidRDefault="0079779E"/>
    <w:p w:rsidR="0079779E" w:rsidRDefault="0079779E"/>
    <w:p w:rsidR="0079779E" w:rsidRDefault="00C3486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79779E" w:rsidRDefault="007F3D10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C3486A">
        <w:rPr>
          <w:rFonts w:ascii="Arial" w:hAnsi="Arial" w:cs="Arial"/>
          <w:sz w:val="20"/>
          <w:szCs w:val="20"/>
        </w:rPr>
        <w:t xml:space="preserve">Oferta </w:t>
      </w:r>
      <w:proofErr w:type="gramStart"/>
      <w:r w:rsidR="00C3486A">
        <w:rPr>
          <w:rFonts w:ascii="Arial" w:hAnsi="Arial" w:cs="Arial"/>
          <w:sz w:val="20"/>
          <w:szCs w:val="20"/>
        </w:rPr>
        <w:t>nie spełniająca</w:t>
      </w:r>
      <w:proofErr w:type="gramEnd"/>
      <w:r w:rsidR="00C3486A">
        <w:rPr>
          <w:rFonts w:ascii="Arial" w:hAnsi="Arial" w:cs="Arial"/>
          <w:sz w:val="20"/>
          <w:szCs w:val="20"/>
        </w:rPr>
        <w:t xml:space="preserve"> wymogów granicznych podlega odrzuceniu bez dalszego rozpatrywania.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79779E" w:rsidRDefault="0079779E">
      <w:pPr>
        <w:rPr>
          <w:rFonts w:ascii="Arial" w:hAnsi="Arial" w:cs="Arial"/>
          <w:sz w:val="20"/>
          <w:szCs w:val="20"/>
        </w:rPr>
      </w:pPr>
    </w:p>
    <w:p w:rsidR="0079779E" w:rsidRDefault="00C3486A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79779E" w:rsidRDefault="00C348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79779E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</w:t>
      </w:r>
    </w:p>
    <w:sectPr w:rsidR="0079779E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9E"/>
    <w:rsid w:val="00002596"/>
    <w:rsid w:val="00035C89"/>
    <w:rsid w:val="00146CDB"/>
    <w:rsid w:val="001C273C"/>
    <w:rsid w:val="003231A5"/>
    <w:rsid w:val="004046A8"/>
    <w:rsid w:val="004E1944"/>
    <w:rsid w:val="004E3CF7"/>
    <w:rsid w:val="00614A8D"/>
    <w:rsid w:val="0079779E"/>
    <w:rsid w:val="007B29B8"/>
    <w:rsid w:val="007F3D10"/>
    <w:rsid w:val="008061A0"/>
    <w:rsid w:val="00853625"/>
    <w:rsid w:val="00A641C6"/>
    <w:rsid w:val="00B05FA1"/>
    <w:rsid w:val="00B91657"/>
    <w:rsid w:val="00BA2FB1"/>
    <w:rsid w:val="00BC4E76"/>
    <w:rsid w:val="00BD795D"/>
    <w:rsid w:val="00C3486A"/>
    <w:rsid w:val="00C622BB"/>
    <w:rsid w:val="00D92C47"/>
    <w:rsid w:val="00E9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A48F-FA1B-4139-B387-3B9CD282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8924A4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561F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1585</Words>
  <Characters>9514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11077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3</cp:revision>
  <dcterms:created xsi:type="dcterms:W3CDTF">2026-05-11T07:04:00Z</dcterms:created>
  <dcterms:modified xsi:type="dcterms:W3CDTF">2026-05-11T07:32:00Z</dcterms:modified>
  <dc:language>pl-PL</dc:language>
</cp:coreProperties>
</file>