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F451C" w:rsidRPr="00F22B7D" w:rsidRDefault="00EF451C">
      <w:pPr>
        <w:rPr>
          <w:rFonts w:ascii="Arial" w:hAnsi="Arial" w:cs="Arial"/>
          <w:b/>
          <w:sz w:val="22"/>
          <w:szCs w:val="22"/>
        </w:rPr>
      </w:pPr>
    </w:p>
    <w:p w:rsidR="00EF451C" w:rsidRPr="00F22B7D" w:rsidRDefault="00EF451C" w:rsidP="00A52DB5">
      <w:pPr>
        <w:outlineLvl w:val="0"/>
        <w:rPr>
          <w:rFonts w:ascii="Arial" w:hAnsi="Arial" w:cs="Arial"/>
        </w:rPr>
      </w:pPr>
      <w:r w:rsidRPr="00F22B7D">
        <w:rPr>
          <w:rFonts w:ascii="Arial" w:hAnsi="Arial" w:cs="Arial"/>
          <w:b/>
          <w:sz w:val="22"/>
          <w:szCs w:val="22"/>
        </w:rPr>
        <w:t>Załącznik nr 2</w:t>
      </w:r>
      <w:r w:rsidR="00F6653E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                ZOZ/DZP/ZO/1/26</w:t>
      </w:r>
      <w:r w:rsidRPr="00F22B7D">
        <w:rPr>
          <w:rFonts w:ascii="Arial" w:hAnsi="Arial" w:cs="Arial"/>
          <w:b/>
          <w:sz w:val="22"/>
          <w:szCs w:val="22"/>
        </w:rPr>
        <w:tab/>
      </w:r>
      <w:r w:rsidRPr="00F22B7D">
        <w:rPr>
          <w:rFonts w:ascii="Arial" w:hAnsi="Arial" w:cs="Arial"/>
          <w:b/>
          <w:sz w:val="22"/>
          <w:szCs w:val="22"/>
        </w:rPr>
        <w:tab/>
      </w:r>
      <w:r w:rsidR="002C2D29" w:rsidRPr="00F22B7D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</w:t>
      </w:r>
      <w:r w:rsidRPr="00F22B7D">
        <w:rPr>
          <w:rFonts w:ascii="Arial" w:hAnsi="Arial" w:cs="Arial"/>
          <w:b/>
          <w:sz w:val="22"/>
          <w:szCs w:val="22"/>
        </w:rPr>
        <w:tab/>
      </w:r>
      <w:r w:rsidRPr="00F22B7D">
        <w:rPr>
          <w:rFonts w:ascii="Arial" w:hAnsi="Arial" w:cs="Arial"/>
          <w:b/>
          <w:sz w:val="22"/>
          <w:szCs w:val="22"/>
        </w:rPr>
        <w:tab/>
      </w:r>
      <w:r w:rsidRPr="00F22B7D">
        <w:rPr>
          <w:rFonts w:ascii="Arial" w:hAnsi="Arial" w:cs="Arial"/>
          <w:b/>
          <w:sz w:val="22"/>
          <w:szCs w:val="22"/>
        </w:rPr>
        <w:tab/>
      </w:r>
      <w:r w:rsidRPr="00F22B7D">
        <w:rPr>
          <w:rFonts w:ascii="Arial" w:hAnsi="Arial" w:cs="Arial"/>
          <w:b/>
          <w:sz w:val="22"/>
          <w:szCs w:val="22"/>
        </w:rPr>
        <w:tab/>
      </w:r>
      <w:r w:rsidRPr="00F22B7D">
        <w:rPr>
          <w:rFonts w:ascii="Arial" w:hAnsi="Arial" w:cs="Arial"/>
          <w:b/>
          <w:sz w:val="22"/>
          <w:szCs w:val="22"/>
        </w:rPr>
        <w:tab/>
        <w:t xml:space="preserve">                               </w:t>
      </w:r>
    </w:p>
    <w:p w:rsidR="00EF451C" w:rsidRDefault="00EF451C" w:rsidP="00A52DB5">
      <w:pPr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F22B7D">
        <w:rPr>
          <w:rFonts w:ascii="Arial" w:hAnsi="Arial" w:cs="Arial"/>
          <w:b/>
          <w:sz w:val="22"/>
          <w:szCs w:val="22"/>
        </w:rPr>
        <w:t>OPIS PRZEDMIOTU ZAMÓWIENIA</w:t>
      </w:r>
    </w:p>
    <w:p w:rsidR="00F6653E" w:rsidRDefault="00F6653E" w:rsidP="00A52DB5">
      <w:pPr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:rsidR="00F6653E" w:rsidRPr="00F22B7D" w:rsidRDefault="00F6653E" w:rsidP="00A52DB5">
      <w:pPr>
        <w:jc w:val="center"/>
        <w:outlineLvl w:val="0"/>
        <w:rPr>
          <w:rFonts w:ascii="Arial" w:hAnsi="Arial" w:cs="Arial"/>
        </w:rPr>
      </w:pPr>
    </w:p>
    <w:p w:rsidR="00EF451C" w:rsidRDefault="00EF451C">
      <w:pPr>
        <w:pStyle w:val="western"/>
        <w:jc w:val="center"/>
        <w:rPr>
          <w:rFonts w:ascii="Arial" w:hAnsi="Arial" w:cs="Arial"/>
          <w:b/>
          <w:bCs/>
          <w:sz w:val="22"/>
          <w:szCs w:val="22"/>
        </w:rPr>
      </w:pPr>
      <w:r w:rsidRPr="00F22B7D">
        <w:rPr>
          <w:rFonts w:ascii="Arial" w:hAnsi="Arial" w:cs="Arial"/>
          <w:b/>
          <w:bCs/>
          <w:sz w:val="22"/>
          <w:szCs w:val="22"/>
        </w:rPr>
        <w:t>Dostawa usług telefonii stacjonarnej wraz z usługą dzierżawy centrali telefoniczn</w:t>
      </w:r>
      <w:r w:rsidR="00A52DB5" w:rsidRPr="00F22B7D">
        <w:rPr>
          <w:rFonts w:ascii="Arial" w:hAnsi="Arial" w:cs="Arial"/>
          <w:b/>
          <w:bCs/>
          <w:sz w:val="22"/>
          <w:szCs w:val="22"/>
        </w:rPr>
        <w:t xml:space="preserve">ej </w:t>
      </w:r>
      <w:r w:rsidR="00A52DB5" w:rsidRPr="00F22B7D">
        <w:rPr>
          <w:rFonts w:ascii="Arial" w:hAnsi="Arial" w:cs="Arial"/>
          <w:b/>
          <w:bCs/>
          <w:sz w:val="22"/>
          <w:szCs w:val="22"/>
        </w:rPr>
        <w:br/>
        <w:t xml:space="preserve">z wyposażeniem i wdrożeniem </w:t>
      </w:r>
      <w:r w:rsidRPr="00F22B7D">
        <w:rPr>
          <w:rFonts w:ascii="Arial" w:hAnsi="Arial" w:cs="Arial"/>
          <w:b/>
          <w:bCs/>
          <w:sz w:val="22"/>
          <w:szCs w:val="22"/>
        </w:rPr>
        <w:t>– na okres 24 miesięcy</w:t>
      </w:r>
    </w:p>
    <w:p w:rsidR="00F6653E" w:rsidRPr="00F22B7D" w:rsidRDefault="00F6653E">
      <w:pPr>
        <w:pStyle w:val="western"/>
        <w:jc w:val="center"/>
        <w:rPr>
          <w:rFonts w:ascii="Arial" w:hAnsi="Arial" w:cs="Arial"/>
        </w:rPr>
      </w:pPr>
    </w:p>
    <w:p w:rsidR="00EF451C" w:rsidRPr="00F22B7D" w:rsidRDefault="00EF451C">
      <w:pPr>
        <w:pStyle w:val="western"/>
        <w:numPr>
          <w:ilvl w:val="0"/>
          <w:numId w:val="1"/>
        </w:numPr>
        <w:spacing w:after="280"/>
        <w:rPr>
          <w:rFonts w:ascii="Arial" w:hAnsi="Arial" w:cs="Arial"/>
        </w:rPr>
      </w:pPr>
      <w:r w:rsidRPr="00F22B7D">
        <w:rPr>
          <w:rFonts w:ascii="Arial" w:hAnsi="Arial" w:cs="Arial"/>
          <w:b/>
          <w:bCs/>
          <w:sz w:val="22"/>
          <w:szCs w:val="22"/>
        </w:rPr>
        <w:t>Usługi telefonii VoIP</w:t>
      </w:r>
    </w:p>
    <w:p w:rsidR="00EF451C" w:rsidRPr="00F22B7D" w:rsidRDefault="00EF451C">
      <w:pPr>
        <w:pStyle w:val="western"/>
        <w:ind w:firstLine="360"/>
        <w:jc w:val="both"/>
        <w:rPr>
          <w:rFonts w:ascii="Arial" w:hAnsi="Arial" w:cs="Arial"/>
        </w:rPr>
      </w:pPr>
      <w:r w:rsidRPr="00F22B7D">
        <w:rPr>
          <w:rFonts w:ascii="Arial" w:hAnsi="Arial" w:cs="Arial"/>
          <w:sz w:val="22"/>
          <w:szCs w:val="22"/>
        </w:rPr>
        <w:t>Świadczenie usług telefonicznych w zakresie połączeń telefonicznych lokalnych i strefowych, międzystrefowych, międzynarodowych, do służb informacyjnych i do sieci komórkowych dla jednego dostępu typu VoIP. Usługa musi gwarantować min 40 kanałów rozmównych, zachowując obecną numerację DDI 71 3011300 do 71 3011399 oraz 71 3011***</w:t>
      </w:r>
      <w:r w:rsidR="003617AD">
        <w:rPr>
          <w:rFonts w:ascii="Arial" w:hAnsi="Arial" w:cs="Arial"/>
          <w:sz w:val="22"/>
          <w:szCs w:val="22"/>
        </w:rPr>
        <w:t xml:space="preserve"> </w:t>
      </w:r>
      <w:r w:rsidRPr="00F22B7D">
        <w:rPr>
          <w:rFonts w:ascii="Arial" w:hAnsi="Arial" w:cs="Arial"/>
          <w:sz w:val="22"/>
          <w:szCs w:val="22"/>
        </w:rPr>
        <w:t>do 71 3011*** podłączonych do centrali zbiorczej NCP. Nielimitowany koszt krajowych połączeń lokalnych, strefowych, międzystrefowych i do sieci komórkowych oraz nielimitowany koszt połączeń międzynarodowych stacjonarnych w Unii Europejskiej. Możliwość nawiązywania połączeń międzynarodowych w pozostałych strefach wg odrębnych cenników.</w:t>
      </w:r>
      <w:r w:rsidR="00AB0160">
        <w:rPr>
          <w:rFonts w:ascii="Arial" w:hAnsi="Arial" w:cs="Arial"/>
          <w:sz w:val="22"/>
          <w:szCs w:val="22"/>
        </w:rPr>
        <w:t xml:space="preserve"> Bezpłatne połączeni do numerów 0-800 i możliwość nawiązywania połączeń do numerów 0-80x </w:t>
      </w:r>
      <w:r w:rsidR="00AB0160" w:rsidRPr="00F22B7D">
        <w:rPr>
          <w:rFonts w:ascii="Arial" w:hAnsi="Arial" w:cs="Arial"/>
          <w:sz w:val="22"/>
          <w:szCs w:val="22"/>
        </w:rPr>
        <w:t>wg odrębnych cenników</w:t>
      </w:r>
      <w:r w:rsidR="00AB0160">
        <w:rPr>
          <w:rFonts w:ascii="Arial" w:hAnsi="Arial" w:cs="Arial"/>
          <w:sz w:val="22"/>
          <w:szCs w:val="22"/>
        </w:rPr>
        <w:t xml:space="preserve">. </w:t>
      </w:r>
      <w:r w:rsidRPr="00F22B7D">
        <w:rPr>
          <w:rFonts w:ascii="Arial" w:hAnsi="Arial" w:cs="Arial"/>
          <w:sz w:val="22"/>
          <w:szCs w:val="22"/>
        </w:rPr>
        <w:t xml:space="preserve">Forma rozliczeń </w:t>
      </w:r>
      <w:r w:rsidR="00AB0160">
        <w:rPr>
          <w:rFonts w:ascii="Arial" w:hAnsi="Arial" w:cs="Arial"/>
          <w:sz w:val="22"/>
          <w:szCs w:val="22"/>
        </w:rPr>
        <w:br/>
      </w:r>
      <w:r w:rsidRPr="00F22B7D">
        <w:rPr>
          <w:rFonts w:ascii="Arial" w:hAnsi="Arial" w:cs="Arial"/>
          <w:sz w:val="22"/>
          <w:szCs w:val="22"/>
        </w:rPr>
        <w:t xml:space="preserve">w postaci miesięcznych opłat abonamentowych. Czas trwania usługi </w:t>
      </w:r>
      <w:r w:rsidR="00E63E56" w:rsidRPr="00F22B7D">
        <w:rPr>
          <w:rFonts w:ascii="Arial" w:hAnsi="Arial" w:cs="Arial"/>
          <w:sz w:val="22"/>
          <w:szCs w:val="22"/>
        </w:rPr>
        <w:t>24 miesią</w:t>
      </w:r>
      <w:r w:rsidRPr="00F22B7D">
        <w:rPr>
          <w:rFonts w:ascii="Arial" w:hAnsi="Arial" w:cs="Arial"/>
          <w:sz w:val="22"/>
          <w:szCs w:val="22"/>
        </w:rPr>
        <w:t>c</w:t>
      </w:r>
      <w:r w:rsidR="00E63E56" w:rsidRPr="00F22B7D">
        <w:rPr>
          <w:rFonts w:ascii="Arial" w:hAnsi="Arial" w:cs="Arial"/>
          <w:sz w:val="22"/>
          <w:szCs w:val="22"/>
        </w:rPr>
        <w:t>e</w:t>
      </w:r>
      <w:r w:rsidRPr="00F22B7D">
        <w:rPr>
          <w:rFonts w:ascii="Arial" w:hAnsi="Arial" w:cs="Arial"/>
          <w:sz w:val="22"/>
          <w:szCs w:val="22"/>
        </w:rPr>
        <w:t>.</w:t>
      </w:r>
    </w:p>
    <w:p w:rsidR="00EF451C" w:rsidRPr="00F22B7D" w:rsidRDefault="00EF451C">
      <w:pPr>
        <w:pStyle w:val="western"/>
        <w:numPr>
          <w:ilvl w:val="0"/>
          <w:numId w:val="1"/>
        </w:numPr>
        <w:spacing w:after="280"/>
        <w:rPr>
          <w:rFonts w:ascii="Arial" w:hAnsi="Arial" w:cs="Arial"/>
        </w:rPr>
      </w:pPr>
      <w:r w:rsidRPr="00F22B7D">
        <w:rPr>
          <w:rFonts w:ascii="Arial" w:hAnsi="Arial" w:cs="Arial"/>
          <w:b/>
          <w:sz w:val="22"/>
          <w:szCs w:val="22"/>
        </w:rPr>
        <w:t xml:space="preserve">Usługa łącza internetowego dedykowanego dla połączeń telefonii VoIP </w:t>
      </w:r>
    </w:p>
    <w:p w:rsidR="00EF451C" w:rsidRPr="00F22B7D" w:rsidRDefault="00EF451C">
      <w:pPr>
        <w:pStyle w:val="western"/>
        <w:ind w:firstLine="360"/>
        <w:jc w:val="both"/>
        <w:rPr>
          <w:rFonts w:ascii="Arial" w:hAnsi="Arial" w:cs="Arial"/>
        </w:rPr>
      </w:pPr>
      <w:r w:rsidRPr="00F22B7D">
        <w:rPr>
          <w:rFonts w:ascii="Arial" w:hAnsi="Arial" w:cs="Arial"/>
          <w:sz w:val="22"/>
          <w:szCs w:val="22"/>
        </w:rPr>
        <w:t xml:space="preserve">Usługa polegająca na zapewnieniu łącza internetowego w technologii światłowodowej, Usługodawca gwarantuje co najmniej jeden statyczny adresem IP i przepustowością co najmniej 50/32 </w:t>
      </w:r>
      <w:proofErr w:type="spellStart"/>
      <w:r w:rsidRPr="00F22B7D">
        <w:rPr>
          <w:rFonts w:ascii="Arial" w:hAnsi="Arial" w:cs="Arial"/>
          <w:sz w:val="22"/>
          <w:szCs w:val="22"/>
        </w:rPr>
        <w:t>Mb</w:t>
      </w:r>
      <w:proofErr w:type="spellEnd"/>
      <w:r w:rsidRPr="00F22B7D">
        <w:rPr>
          <w:rFonts w:ascii="Arial" w:hAnsi="Arial" w:cs="Arial"/>
          <w:sz w:val="22"/>
          <w:szCs w:val="22"/>
        </w:rPr>
        <w:t xml:space="preserve">/s. Czas trwania usługi </w:t>
      </w:r>
      <w:r w:rsidR="001C3ACC" w:rsidRPr="00F22B7D">
        <w:rPr>
          <w:rFonts w:ascii="Arial" w:hAnsi="Arial" w:cs="Arial"/>
          <w:sz w:val="22"/>
          <w:szCs w:val="22"/>
        </w:rPr>
        <w:t>24</w:t>
      </w:r>
      <w:r w:rsidRPr="00F22B7D">
        <w:rPr>
          <w:rFonts w:ascii="Arial" w:hAnsi="Arial" w:cs="Arial"/>
          <w:sz w:val="22"/>
          <w:szCs w:val="22"/>
        </w:rPr>
        <w:t xml:space="preserve"> miesi</w:t>
      </w:r>
      <w:r w:rsidR="001C3ACC" w:rsidRPr="00F22B7D">
        <w:rPr>
          <w:rFonts w:ascii="Arial" w:hAnsi="Arial" w:cs="Arial"/>
          <w:sz w:val="22"/>
          <w:szCs w:val="22"/>
        </w:rPr>
        <w:t>ą</w:t>
      </w:r>
      <w:r w:rsidRPr="00F22B7D">
        <w:rPr>
          <w:rFonts w:ascii="Arial" w:hAnsi="Arial" w:cs="Arial"/>
          <w:sz w:val="22"/>
          <w:szCs w:val="22"/>
        </w:rPr>
        <w:t>c</w:t>
      </w:r>
      <w:r w:rsidR="001C3ACC" w:rsidRPr="00F22B7D">
        <w:rPr>
          <w:rFonts w:ascii="Arial" w:hAnsi="Arial" w:cs="Arial"/>
          <w:sz w:val="22"/>
          <w:szCs w:val="22"/>
        </w:rPr>
        <w:t>e</w:t>
      </w:r>
      <w:r w:rsidRPr="00F22B7D">
        <w:rPr>
          <w:rFonts w:ascii="Arial" w:hAnsi="Arial" w:cs="Arial"/>
          <w:sz w:val="22"/>
          <w:szCs w:val="22"/>
        </w:rPr>
        <w:t xml:space="preserve">. Razem z usługą dostawca dostarcza wszelkiego rodzaju urządzenia (media konwerter </w:t>
      </w:r>
      <w:proofErr w:type="spellStart"/>
      <w:r w:rsidRPr="00F22B7D">
        <w:rPr>
          <w:rFonts w:ascii="Arial" w:hAnsi="Arial" w:cs="Arial"/>
          <w:sz w:val="22"/>
          <w:szCs w:val="22"/>
        </w:rPr>
        <w:t>lan</w:t>
      </w:r>
      <w:proofErr w:type="spellEnd"/>
      <w:r w:rsidRPr="00F22B7D">
        <w:rPr>
          <w:rFonts w:ascii="Arial" w:hAnsi="Arial" w:cs="Arial"/>
          <w:sz w:val="22"/>
          <w:szCs w:val="22"/>
        </w:rPr>
        <w:t>, router, filtry, itp.) niezbędne do uruchomienia usługi Internetu.</w:t>
      </w:r>
    </w:p>
    <w:p w:rsidR="00EF451C" w:rsidRPr="00F22B7D" w:rsidRDefault="00EF451C">
      <w:pPr>
        <w:pStyle w:val="western"/>
        <w:numPr>
          <w:ilvl w:val="0"/>
          <w:numId w:val="1"/>
        </w:numPr>
        <w:spacing w:after="280"/>
        <w:rPr>
          <w:rFonts w:ascii="Arial" w:hAnsi="Arial" w:cs="Arial"/>
        </w:rPr>
      </w:pPr>
      <w:r w:rsidRPr="00F22B7D">
        <w:rPr>
          <w:rFonts w:ascii="Arial" w:hAnsi="Arial" w:cs="Arial"/>
          <w:b/>
          <w:bCs/>
          <w:sz w:val="22"/>
          <w:szCs w:val="22"/>
        </w:rPr>
        <w:t xml:space="preserve">backup telefonii stacjonarnej </w:t>
      </w:r>
    </w:p>
    <w:p w:rsidR="008A0ED7" w:rsidRPr="00F22B7D" w:rsidRDefault="008A0ED7" w:rsidP="00A17D8C">
      <w:pPr>
        <w:pStyle w:val="western"/>
        <w:ind w:firstLine="360"/>
        <w:jc w:val="both"/>
        <w:rPr>
          <w:rFonts w:ascii="Arial" w:hAnsi="Arial" w:cs="Arial"/>
        </w:rPr>
      </w:pPr>
      <w:r w:rsidRPr="00F22B7D">
        <w:rPr>
          <w:rFonts w:ascii="Arial" w:hAnsi="Arial" w:cs="Arial"/>
          <w:sz w:val="22"/>
          <w:szCs w:val="22"/>
        </w:rPr>
        <w:t xml:space="preserve">Usługa polegająca na zapewnieniu rozwiązania umożliwiającego przełączenie całego ruchu telefonicznego VoIP na zapasową transmisję telefoniczną realizowaną po usłudze ISDN.  Usługa musi zapewniać możliwość automatycznego przepięcia całego ruchu telefonicznego z numeracji podstawowej 71 3011300 - 71 3011399 </w:t>
      </w:r>
      <w:r w:rsidR="00815F16">
        <w:rPr>
          <w:rFonts w:ascii="Arial" w:hAnsi="Arial" w:cs="Arial"/>
          <w:sz w:val="22"/>
          <w:szCs w:val="22"/>
        </w:rPr>
        <w:br/>
      </w:r>
      <w:r w:rsidRPr="00F22B7D">
        <w:rPr>
          <w:rFonts w:ascii="Arial" w:hAnsi="Arial" w:cs="Arial"/>
          <w:sz w:val="22"/>
          <w:szCs w:val="22"/>
        </w:rPr>
        <w:t>i 71 3011*** - 71 3011***.</w:t>
      </w:r>
    </w:p>
    <w:p w:rsidR="008A0ED7" w:rsidRPr="00F22B7D" w:rsidRDefault="008A0ED7">
      <w:pPr>
        <w:pStyle w:val="western"/>
        <w:numPr>
          <w:ilvl w:val="0"/>
          <w:numId w:val="1"/>
        </w:numPr>
        <w:spacing w:after="280"/>
        <w:rPr>
          <w:rFonts w:ascii="Arial" w:hAnsi="Arial" w:cs="Arial"/>
          <w:b/>
          <w:sz w:val="22"/>
          <w:szCs w:val="22"/>
        </w:rPr>
      </w:pPr>
      <w:r w:rsidRPr="00F22B7D">
        <w:rPr>
          <w:rFonts w:ascii="Arial" w:hAnsi="Arial" w:cs="Arial"/>
          <w:b/>
          <w:sz w:val="22"/>
          <w:szCs w:val="22"/>
        </w:rPr>
        <w:t>usługa masowej wysyłki wiadomości sms</w:t>
      </w:r>
    </w:p>
    <w:p w:rsidR="00A17D8C" w:rsidRPr="00F22B7D" w:rsidRDefault="008A0ED7" w:rsidP="00A17D8C">
      <w:pPr>
        <w:pStyle w:val="western"/>
        <w:spacing w:before="0" w:after="0"/>
        <w:ind w:firstLine="360"/>
        <w:jc w:val="both"/>
        <w:rPr>
          <w:rFonts w:ascii="Arial" w:hAnsi="Arial" w:cs="Arial"/>
          <w:sz w:val="22"/>
          <w:szCs w:val="22"/>
        </w:rPr>
      </w:pPr>
      <w:r w:rsidRPr="00F22B7D">
        <w:rPr>
          <w:rFonts w:ascii="Arial" w:hAnsi="Arial" w:cs="Arial"/>
          <w:sz w:val="22"/>
          <w:szCs w:val="22"/>
        </w:rPr>
        <w:t>Usługa polegająca na zapewnieniu możliwości wysyłania i odbierania dużej ilości wiadomości SMS/MMS</w:t>
      </w:r>
      <w:r w:rsidR="00A17D8C" w:rsidRPr="00F22B7D">
        <w:rPr>
          <w:rFonts w:ascii="Arial" w:hAnsi="Arial" w:cs="Arial"/>
          <w:sz w:val="22"/>
          <w:szCs w:val="22"/>
        </w:rPr>
        <w:t xml:space="preserve"> oraz wiadomości tekstowych klasy „0”, </w:t>
      </w:r>
      <w:r w:rsidRPr="00F22B7D">
        <w:rPr>
          <w:rFonts w:ascii="Arial" w:hAnsi="Arial" w:cs="Arial"/>
          <w:sz w:val="22"/>
          <w:szCs w:val="22"/>
        </w:rPr>
        <w:t xml:space="preserve">dedykowana m.in. do masowych zastosowań </w:t>
      </w:r>
      <w:r w:rsidR="00A17D8C" w:rsidRPr="00F22B7D">
        <w:rPr>
          <w:rFonts w:ascii="Arial" w:hAnsi="Arial" w:cs="Arial"/>
          <w:sz w:val="22"/>
          <w:szCs w:val="22"/>
        </w:rPr>
        <w:br/>
      </w:r>
      <w:r w:rsidRPr="00F22B7D">
        <w:rPr>
          <w:rFonts w:ascii="Arial" w:hAnsi="Arial" w:cs="Arial"/>
          <w:sz w:val="22"/>
          <w:szCs w:val="22"/>
        </w:rPr>
        <w:t xml:space="preserve">w marketingu, sytuacjach kryzysowych, raportowaniu, sprawach administracyjnych itp. Usługa dostępna za pomocą dedykowanej aplikacji internetowej oraz z możliwością integracji z oprogramowaniem zewnętrznym. </w:t>
      </w:r>
      <w:r w:rsidR="00A17D8C" w:rsidRPr="00F22B7D">
        <w:rPr>
          <w:rFonts w:ascii="Arial" w:hAnsi="Arial" w:cs="Arial"/>
          <w:sz w:val="22"/>
          <w:szCs w:val="22"/>
        </w:rPr>
        <w:t>Usługa umożliwia:</w:t>
      </w:r>
    </w:p>
    <w:p w:rsidR="00A17D8C" w:rsidRPr="00F22B7D" w:rsidRDefault="00A17D8C" w:rsidP="00A17D8C">
      <w:pPr>
        <w:pStyle w:val="western"/>
        <w:numPr>
          <w:ilvl w:val="0"/>
          <w:numId w:val="4"/>
        </w:numPr>
        <w:spacing w:before="0" w:after="0"/>
        <w:jc w:val="both"/>
        <w:rPr>
          <w:rFonts w:ascii="Arial" w:hAnsi="Arial" w:cs="Arial"/>
          <w:sz w:val="22"/>
          <w:szCs w:val="22"/>
        </w:rPr>
      </w:pPr>
      <w:r w:rsidRPr="00F22B7D">
        <w:rPr>
          <w:rFonts w:ascii="Arial" w:hAnsi="Arial" w:cs="Arial"/>
          <w:sz w:val="22"/>
          <w:szCs w:val="22"/>
        </w:rPr>
        <w:t xml:space="preserve">monitorowanie przez administratorów kolejek wiadomości wychodzących i przychodzących, </w:t>
      </w:r>
    </w:p>
    <w:p w:rsidR="00A17D8C" w:rsidRPr="00F22B7D" w:rsidRDefault="00A17D8C" w:rsidP="00A17D8C">
      <w:pPr>
        <w:pStyle w:val="western"/>
        <w:numPr>
          <w:ilvl w:val="0"/>
          <w:numId w:val="4"/>
        </w:numPr>
        <w:spacing w:before="0" w:after="0"/>
        <w:jc w:val="both"/>
        <w:rPr>
          <w:rFonts w:ascii="Arial" w:hAnsi="Arial" w:cs="Arial"/>
          <w:sz w:val="22"/>
          <w:szCs w:val="22"/>
        </w:rPr>
      </w:pPr>
      <w:r w:rsidRPr="00F22B7D">
        <w:rPr>
          <w:rFonts w:ascii="Arial" w:hAnsi="Arial" w:cs="Arial"/>
          <w:sz w:val="22"/>
          <w:szCs w:val="22"/>
        </w:rPr>
        <w:t xml:space="preserve">zarządzenie kontami użytkowników i nadawaniem im limitów smsów, </w:t>
      </w:r>
    </w:p>
    <w:p w:rsidR="00A17D8C" w:rsidRPr="00F22B7D" w:rsidRDefault="00A17D8C" w:rsidP="00A17D8C">
      <w:pPr>
        <w:pStyle w:val="western"/>
        <w:numPr>
          <w:ilvl w:val="0"/>
          <w:numId w:val="4"/>
        </w:numPr>
        <w:spacing w:before="0" w:after="0"/>
        <w:jc w:val="both"/>
        <w:rPr>
          <w:rFonts w:ascii="Arial" w:hAnsi="Arial" w:cs="Arial"/>
          <w:sz w:val="22"/>
          <w:szCs w:val="22"/>
        </w:rPr>
      </w:pPr>
      <w:r w:rsidRPr="00F22B7D">
        <w:rPr>
          <w:rFonts w:ascii="Arial" w:hAnsi="Arial" w:cs="Arial"/>
          <w:sz w:val="22"/>
          <w:szCs w:val="22"/>
        </w:rPr>
        <w:t>automatyczny podpis osoby wysyłającej wiadomość,</w:t>
      </w:r>
    </w:p>
    <w:p w:rsidR="00A17D8C" w:rsidRPr="00F22B7D" w:rsidRDefault="00A17D8C" w:rsidP="00A17D8C">
      <w:pPr>
        <w:pStyle w:val="western"/>
        <w:numPr>
          <w:ilvl w:val="0"/>
          <w:numId w:val="4"/>
        </w:numPr>
        <w:spacing w:before="0" w:after="0"/>
        <w:jc w:val="both"/>
        <w:rPr>
          <w:rFonts w:ascii="Arial" w:hAnsi="Arial" w:cs="Arial"/>
          <w:sz w:val="22"/>
          <w:szCs w:val="22"/>
        </w:rPr>
      </w:pPr>
      <w:r w:rsidRPr="00F22B7D">
        <w:rPr>
          <w:rFonts w:ascii="Arial" w:hAnsi="Arial" w:cs="Arial"/>
          <w:sz w:val="22"/>
          <w:szCs w:val="22"/>
        </w:rPr>
        <w:t>tworzenie własnych szablonów wiadomości i zarządzanie nimi,</w:t>
      </w:r>
    </w:p>
    <w:p w:rsidR="00A17D8C" w:rsidRPr="00F22B7D" w:rsidRDefault="00A17D8C" w:rsidP="00A17D8C">
      <w:pPr>
        <w:pStyle w:val="western"/>
        <w:numPr>
          <w:ilvl w:val="0"/>
          <w:numId w:val="4"/>
        </w:numPr>
        <w:spacing w:before="0" w:after="0"/>
        <w:jc w:val="both"/>
        <w:rPr>
          <w:rFonts w:ascii="Arial" w:hAnsi="Arial" w:cs="Arial"/>
          <w:sz w:val="22"/>
          <w:szCs w:val="22"/>
        </w:rPr>
      </w:pPr>
      <w:r w:rsidRPr="00F22B7D">
        <w:rPr>
          <w:rFonts w:ascii="Arial" w:hAnsi="Arial" w:cs="Arial"/>
          <w:sz w:val="22"/>
          <w:szCs w:val="22"/>
        </w:rPr>
        <w:t xml:space="preserve">dostępność statystyk dziennych, tygodniowych, miesięcznych wraz z liczbą wysłanych </w:t>
      </w:r>
      <w:r w:rsidRPr="00F22B7D">
        <w:rPr>
          <w:rFonts w:ascii="Arial" w:hAnsi="Arial" w:cs="Arial"/>
          <w:sz w:val="22"/>
          <w:szCs w:val="22"/>
        </w:rPr>
        <w:br/>
        <w:t>i odebranych wiadomości,</w:t>
      </w:r>
    </w:p>
    <w:p w:rsidR="00A17D8C" w:rsidRPr="00F22B7D" w:rsidRDefault="00A17D8C" w:rsidP="00A17D8C">
      <w:pPr>
        <w:pStyle w:val="western"/>
        <w:numPr>
          <w:ilvl w:val="0"/>
          <w:numId w:val="4"/>
        </w:numPr>
        <w:spacing w:before="0" w:after="0"/>
        <w:jc w:val="both"/>
        <w:rPr>
          <w:rFonts w:ascii="Arial" w:hAnsi="Arial" w:cs="Arial"/>
          <w:sz w:val="22"/>
          <w:szCs w:val="22"/>
        </w:rPr>
      </w:pPr>
      <w:r w:rsidRPr="00F22B7D">
        <w:rPr>
          <w:rFonts w:ascii="Arial" w:hAnsi="Arial" w:cs="Arial"/>
          <w:sz w:val="22"/>
          <w:szCs w:val="22"/>
        </w:rPr>
        <w:lastRenderedPageBreak/>
        <w:t>możliwość integracji z firmową skrzynka pocztową emai2sms bezpieczne wysyłanie i odbieranie wiadomości SMS i MMS z firmowych skrzynek pocztowych,</w:t>
      </w:r>
    </w:p>
    <w:p w:rsidR="00A17D8C" w:rsidRPr="00F22B7D" w:rsidRDefault="00A17D8C" w:rsidP="00A17D8C">
      <w:pPr>
        <w:pStyle w:val="western"/>
        <w:numPr>
          <w:ilvl w:val="0"/>
          <w:numId w:val="4"/>
        </w:numPr>
        <w:spacing w:before="0" w:after="0"/>
        <w:jc w:val="both"/>
        <w:rPr>
          <w:rFonts w:ascii="Arial" w:hAnsi="Arial" w:cs="Arial"/>
          <w:sz w:val="22"/>
          <w:szCs w:val="22"/>
        </w:rPr>
      </w:pPr>
      <w:r w:rsidRPr="00F22B7D">
        <w:rPr>
          <w:rFonts w:ascii="Arial" w:hAnsi="Arial" w:cs="Arial"/>
          <w:sz w:val="22"/>
          <w:szCs w:val="22"/>
        </w:rPr>
        <w:t>przekierowania otrzymywanych wiadomości na określony numer komórkowy GSM (wszystkich operatorów) lub e-mail.</w:t>
      </w:r>
    </w:p>
    <w:p w:rsidR="008A0ED7" w:rsidRPr="00F22B7D" w:rsidRDefault="008A0ED7" w:rsidP="00A17D8C">
      <w:pPr>
        <w:pStyle w:val="western"/>
        <w:spacing w:after="280"/>
        <w:ind w:firstLine="360"/>
        <w:jc w:val="both"/>
        <w:rPr>
          <w:rFonts w:ascii="Arial" w:hAnsi="Arial" w:cs="Arial"/>
          <w:sz w:val="22"/>
          <w:szCs w:val="22"/>
        </w:rPr>
      </w:pPr>
      <w:r w:rsidRPr="00F22B7D">
        <w:rPr>
          <w:rFonts w:ascii="Arial" w:hAnsi="Arial" w:cs="Arial"/>
          <w:sz w:val="22"/>
          <w:szCs w:val="22"/>
        </w:rPr>
        <w:t>Wymagana jest integracja usługi z użytkowanym przez Zamawiającego</w:t>
      </w:r>
      <w:r w:rsidR="00A17D8C" w:rsidRPr="00F22B7D">
        <w:rPr>
          <w:rFonts w:ascii="Arial" w:hAnsi="Arial" w:cs="Arial"/>
          <w:sz w:val="22"/>
          <w:szCs w:val="22"/>
        </w:rPr>
        <w:t xml:space="preserve"> </w:t>
      </w:r>
      <w:r w:rsidRPr="00F22B7D">
        <w:rPr>
          <w:rFonts w:ascii="Arial" w:hAnsi="Arial" w:cs="Arial"/>
          <w:sz w:val="22"/>
          <w:szCs w:val="22"/>
        </w:rPr>
        <w:t xml:space="preserve">systemem medycznym Eskulap NT, którego producentem jest firma  </w:t>
      </w:r>
      <w:proofErr w:type="spellStart"/>
      <w:r w:rsidRPr="00F22B7D">
        <w:rPr>
          <w:rFonts w:ascii="Arial" w:hAnsi="Arial" w:cs="Arial"/>
          <w:sz w:val="22"/>
          <w:szCs w:val="22"/>
        </w:rPr>
        <w:t>Nexus</w:t>
      </w:r>
      <w:proofErr w:type="spellEnd"/>
      <w:r w:rsidRPr="00F22B7D">
        <w:rPr>
          <w:rFonts w:ascii="Arial" w:hAnsi="Arial" w:cs="Arial"/>
          <w:sz w:val="22"/>
          <w:szCs w:val="22"/>
        </w:rPr>
        <w:t xml:space="preserve"> Polska Sp. z o.o.</w:t>
      </w:r>
      <w:r w:rsidRPr="00F22B7D">
        <w:rPr>
          <w:rFonts w:ascii="Arial" w:hAnsi="Arial" w:cs="Arial"/>
        </w:rPr>
        <w:t xml:space="preserve"> </w:t>
      </w:r>
      <w:r w:rsidRPr="00F22B7D">
        <w:rPr>
          <w:rFonts w:ascii="Arial" w:hAnsi="Arial" w:cs="Arial"/>
          <w:sz w:val="22"/>
          <w:szCs w:val="22"/>
        </w:rPr>
        <w:t>ul. Szyperska 14 61-754 Poznań.</w:t>
      </w:r>
      <w:r w:rsidR="00A17D8C" w:rsidRPr="00F22B7D">
        <w:rPr>
          <w:rFonts w:ascii="Arial" w:hAnsi="Arial" w:cs="Arial"/>
          <w:sz w:val="22"/>
          <w:szCs w:val="22"/>
        </w:rPr>
        <w:t xml:space="preserve"> Zamawiający wymaga puli minimum 10000 smsów w pakiecie miesięcznym gdzie ilość niewykorzystanych smsów pozostaje do wykorzystania w obrębie kwartału.</w:t>
      </w:r>
    </w:p>
    <w:p w:rsidR="00EF451C" w:rsidRPr="00F22B7D" w:rsidRDefault="00EF451C">
      <w:pPr>
        <w:pStyle w:val="western"/>
        <w:numPr>
          <w:ilvl w:val="0"/>
          <w:numId w:val="1"/>
        </w:numPr>
        <w:spacing w:after="280"/>
        <w:rPr>
          <w:rFonts w:ascii="Arial" w:hAnsi="Arial" w:cs="Arial"/>
        </w:rPr>
      </w:pPr>
      <w:r w:rsidRPr="00F22B7D">
        <w:rPr>
          <w:rFonts w:ascii="Arial" w:hAnsi="Arial" w:cs="Arial"/>
          <w:b/>
          <w:bCs/>
          <w:sz w:val="22"/>
          <w:szCs w:val="22"/>
        </w:rPr>
        <w:t xml:space="preserve">Centrala telefoniczna </w:t>
      </w:r>
      <w:r w:rsidRPr="00F22B7D">
        <w:rPr>
          <w:rFonts w:ascii="Arial" w:hAnsi="Arial" w:cs="Arial"/>
          <w:sz w:val="22"/>
          <w:szCs w:val="22"/>
        </w:rPr>
        <w:t>Usługa dzierżawy centrali telefonicznej obsługującej usługi telefoniczne.</w:t>
      </w:r>
    </w:p>
    <w:tbl>
      <w:tblPr>
        <w:tblW w:w="10564" w:type="dxa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1843"/>
        <w:gridCol w:w="851"/>
        <w:gridCol w:w="3856"/>
        <w:gridCol w:w="3339"/>
      </w:tblGrid>
      <w:tr w:rsidR="00EF451C" w:rsidRPr="00F22B7D" w:rsidTr="00F22B7D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F451C" w:rsidRPr="00F22B7D" w:rsidRDefault="00EF451C">
            <w:pPr>
              <w:pStyle w:val="western"/>
              <w:spacing w:before="0"/>
              <w:jc w:val="center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F451C" w:rsidRPr="00F22B7D" w:rsidRDefault="00EF451C">
            <w:pPr>
              <w:pStyle w:val="western"/>
              <w:spacing w:before="0"/>
              <w:jc w:val="center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b/>
                <w:bCs/>
                <w:sz w:val="22"/>
                <w:szCs w:val="22"/>
              </w:rPr>
              <w:t>Nazwa/model produktu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F451C" w:rsidRPr="00F22B7D" w:rsidRDefault="00EF451C">
            <w:pPr>
              <w:pStyle w:val="western"/>
              <w:spacing w:before="0"/>
              <w:jc w:val="center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b/>
                <w:bCs/>
                <w:sz w:val="22"/>
                <w:szCs w:val="22"/>
              </w:rPr>
              <w:t>Ilość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F451C" w:rsidRPr="00F22B7D" w:rsidRDefault="00EF451C">
            <w:pPr>
              <w:pStyle w:val="western"/>
              <w:spacing w:before="0"/>
              <w:jc w:val="center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b/>
                <w:bCs/>
                <w:sz w:val="22"/>
                <w:szCs w:val="22"/>
              </w:rPr>
              <w:t>Opis wybranych parametrów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F451C" w:rsidRPr="00F22B7D" w:rsidRDefault="00EF451C">
            <w:pPr>
              <w:pStyle w:val="western"/>
              <w:spacing w:before="0"/>
              <w:jc w:val="center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b/>
                <w:bCs/>
                <w:sz w:val="22"/>
                <w:szCs w:val="22"/>
              </w:rPr>
              <w:t>Tak/Nie/Podać</w:t>
            </w: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 xml:space="preserve">Centrala telefoniczna </w:t>
            </w:r>
            <w:proofErr w:type="spellStart"/>
            <w:r w:rsidRPr="00F22B7D">
              <w:rPr>
                <w:rFonts w:ascii="Arial" w:hAnsi="Arial" w:cs="Arial"/>
                <w:sz w:val="22"/>
                <w:szCs w:val="22"/>
              </w:rPr>
              <w:t>Slican</w:t>
            </w:r>
            <w:proofErr w:type="spellEnd"/>
            <w:r w:rsidRPr="00F22B7D">
              <w:rPr>
                <w:rFonts w:ascii="Arial" w:hAnsi="Arial" w:cs="Arial"/>
                <w:sz w:val="22"/>
                <w:szCs w:val="22"/>
              </w:rPr>
              <w:t xml:space="preserve"> 1U5 NCP-CM400P.1BC lub równoważna w opisanym zakresie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1 szt.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Min. 60 rozmów jedoczesnych z możliwością rozbudowy – Centrala musi zostać wyposażone w odpowiednie licencje do tego celu.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Możliwość podłączenia 30 użytkowników VoIP– Centrala musi zostać wyposażone w odpowiednie licencje 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Funkcja nagrywania rozmów na co najmniej 32 kanałach z oprogramowaniem do archiwizacji nagrań i stanowiskiem do odsłuchu nagrań. – Centrala musi zostać wyposaża odpowiednie licencje do tego celu.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pacing w:before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Narywanie wszystkich wewnętrznych rozmów lub selektywne nagrywanie rozmów wg wskazań Zamawiającego na etapie wdrożenia.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Możliwość rozbudowy system nagrywania rozmów na co najmniej 100 kanałów.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System zapowiedzi słownych i minimum 10 infolinii IVR.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Modułowa budowa centrali umożliwiająca montaż w szafie RAC 19”.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Dostępny system taryfikacji i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bilingowania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Min. 22 stanowisk logowań dla agentów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CallCenter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do obsługi kolejek.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Możliwość utworzenia minimum 20 kolejek dla infolinii z odtwarzaniem informacji o pozycji w kolejce i szacowanym czasie oczekiwania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Funkcja obserwowania online stanu kolejek infolinii (ilości oczekujących w kolejce, ilości zalogowanych agentów, czasu oczekiwania dzwoniącego w kolejce.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54222B">
            <w:pPr>
              <w:pStyle w:val="western"/>
              <w:spacing w:before="0"/>
              <w:ind w:right="-283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Uruchomiona usługa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MessengerCTI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Plus dla 22 użytkowników umożliwiająca współpracę aparatu telefonicznego z komputerem. 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Przechowywanie nagrań na zewnętrznych nośnikach danych typu NAS. 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D758D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Aparat systemowy minimum 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szt.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Slican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CTS-220.IP lub równoważny opisany w punkcie A.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Centrala musi posiadać wszystkie potrzebne licencje oraz moduły do uruchomienia w tym okablowanie i uchwyty do szafy </w:t>
            </w:r>
            <w:proofErr w:type="spellStart"/>
            <w:r w:rsidRPr="00F22B7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rack</w:t>
            </w:r>
            <w:proofErr w:type="spellEnd"/>
            <w:r w:rsidRPr="00F22B7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19”.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Zasilanie awaryjne podtrzymujące pracę co najmniej 5 godzin.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Akumulatory zasilania awaryjnego umieszczone w obudowie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rack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19”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Dostęp miejski ISDN 2B+D:  2szt.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Porty analogowe wewnętrzne w ilości co najmniej 156 szt.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pacing w:before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Możliwość rozbudowy ilości portów wewnętrznych do co najmniej 300 szt.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Porty cyfrowe wewnętrzne telefonów systemowych TDM podłączanych jedną parą przewodów w ilości co najmniej 12 szt.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Możliwość rozbudowy ilości portów cyfrowych/systemowych do co najmniej 120 szt.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pacing w:before="0"/>
              <w:rPr>
                <w:rFonts w:ascii="Arial" w:hAnsi="Arial" w:cs="Arial"/>
                <w:strike/>
                <w:color w:val="000000"/>
                <w:sz w:val="22"/>
                <w:szCs w:val="22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Obsługa poczty głosowej dla co najmniej 184 skrzynek.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Uruchomienie usługi fax2mail wg wskazań Zamawiającego na etapie uruchomienia centrali. 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Dostępny system taryfikacji i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bilingowania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pacing w:before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Dostępny system zarządzania centralą.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pacing w:before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Możliwość rozbudowy obsługi do 1000 abonentów VoIP.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pacing w:before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Możliwość rozbudowy o wewnętrzną bramkę GSM obsługującą dowolnego operatora GSM.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Serwis polegający na usuwaniu awarii i usterek, na podstawie zgłoszeń użytkownika.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Serwis polegający na wprowadzaniu zmian konfiguracyjnych na podstawie zgłoszeń użytkownika.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pacing w:before="0"/>
              <w:rPr>
                <w:rFonts w:ascii="Arial" w:hAnsi="Arial" w:cs="Arial"/>
                <w:strike/>
                <w:color w:val="000000"/>
                <w:sz w:val="22"/>
                <w:szCs w:val="22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Instalacja i konfiguracja centrali w siedzibie zamawiającego z przeniesieniem obecnej numeracji zewnętrznej i wewnętrznej. 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pacing w:before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Prace wdrożeniowe wykonywane w godzinach pomiędzy 14:00 po południu a 07:00 rano. Przerwa w dostępności do usług telefonii stacjonarnej nie dłuższa niż 2 godziny łącznie.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pacing w:before="0"/>
              <w:rPr>
                <w:rFonts w:ascii="Arial" w:hAnsi="Arial" w:cs="Arial"/>
              </w:rPr>
            </w:pP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Patchcordy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niezbędne do uruchomienia centrali oraz połączeń krosowych aparatów abonenckich.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FE452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Aparaty systemowe zaawansowane minimum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szt. CTS 202CL współpracujące z zaproponowaną centralną lub równoważne wg specyfikacji w punkcie B.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Aparat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y systemowe podstawowe minimum 8</w:t>
            </w: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szt. CTS 102CL współpracujące z zaproponowaną centralną lub równoważne wg specyfikacji w punkcie C.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pacing w:before="0"/>
              <w:rPr>
                <w:rFonts w:ascii="Arial" w:hAnsi="Arial" w:cs="Arial"/>
                <w:color w:val="000000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Słuchawki nagłowne na jedno ucho np.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Senheisser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SC230 podłączane do aparatów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Slican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CTS220IP  szt.2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452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15F16">
            <w:pPr>
              <w:pStyle w:val="western"/>
              <w:spacing w:before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Dodatkowe konsole do aparatów CTS.IP - 38  programowalnych klawiszy  np.: Konsola CTS-338 </w:t>
            </w:r>
            <w:r w:rsidR="00815F16">
              <w:rPr>
                <w:rFonts w:ascii="Arial" w:hAnsi="Arial" w:cs="Arial"/>
                <w:color w:val="000000"/>
                <w:sz w:val="22"/>
                <w:szCs w:val="22"/>
              </w:rPr>
              <w:t xml:space="preserve">– 2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szt.</w:t>
            </w:r>
            <w:r w:rsidR="00815F1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815F16"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wg specyfikacji w punkcie </w:t>
            </w:r>
            <w:r w:rsidR="00815F16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  <w:r w:rsidR="00815F16" w:rsidRPr="00F22B7D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526" w:rsidRPr="00F22B7D" w:rsidRDefault="00FE4526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77C6" w:rsidRDefault="002E77C6" w:rsidP="006A749D">
            <w:pPr>
              <w:pStyle w:val="western"/>
              <w:spacing w:before="0"/>
              <w:rPr>
                <w:rFonts w:ascii="Arial" w:hAnsi="Arial" w:cs="Arial"/>
              </w:rPr>
            </w:pPr>
          </w:p>
          <w:p w:rsidR="002E77C6" w:rsidRDefault="002E77C6" w:rsidP="006A749D">
            <w:pPr>
              <w:pStyle w:val="western"/>
              <w:spacing w:before="0"/>
              <w:rPr>
                <w:rFonts w:ascii="Arial" w:hAnsi="Arial" w:cs="Arial"/>
              </w:rPr>
            </w:pPr>
          </w:p>
          <w:p w:rsidR="002E77C6" w:rsidRDefault="002E77C6" w:rsidP="006A749D">
            <w:pPr>
              <w:pStyle w:val="western"/>
              <w:spacing w:before="0"/>
              <w:rPr>
                <w:rFonts w:ascii="Arial" w:hAnsi="Arial" w:cs="Arial"/>
              </w:rPr>
            </w:pPr>
          </w:p>
          <w:p w:rsidR="002E77C6" w:rsidRDefault="002E77C6" w:rsidP="006A749D">
            <w:pPr>
              <w:pStyle w:val="western"/>
              <w:spacing w:before="0"/>
              <w:rPr>
                <w:rFonts w:ascii="Arial" w:hAnsi="Arial" w:cs="Arial"/>
              </w:rPr>
            </w:pPr>
          </w:p>
          <w:p w:rsidR="002E77C6" w:rsidRDefault="002E77C6" w:rsidP="006A749D">
            <w:pPr>
              <w:pStyle w:val="western"/>
              <w:spacing w:before="0"/>
              <w:rPr>
                <w:rFonts w:ascii="Arial" w:hAnsi="Arial" w:cs="Arial"/>
              </w:rPr>
            </w:pPr>
          </w:p>
          <w:p w:rsidR="00866912" w:rsidRPr="00F22B7D" w:rsidRDefault="002E77C6" w:rsidP="006A749D">
            <w:pPr>
              <w:pStyle w:val="western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77C6" w:rsidRDefault="002E77C6" w:rsidP="006A749D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:rsidR="002E77C6" w:rsidRDefault="002E77C6" w:rsidP="006A749D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:rsidR="002E77C6" w:rsidRDefault="002E77C6" w:rsidP="006A749D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:rsidR="002E77C6" w:rsidRDefault="002E77C6" w:rsidP="006A749D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:rsidR="002E77C6" w:rsidRDefault="002E77C6" w:rsidP="006A749D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:rsidR="002E77C6" w:rsidRDefault="002E77C6" w:rsidP="006A749D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:rsidR="00866912" w:rsidRPr="00F22B7D" w:rsidRDefault="002E77C6" w:rsidP="006A749D">
            <w:pPr>
              <w:pStyle w:val="western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866912" w:rsidRPr="00F22B7D">
              <w:rPr>
                <w:rFonts w:ascii="Arial" w:hAnsi="Arial" w:cs="Arial"/>
                <w:sz w:val="22"/>
                <w:szCs w:val="22"/>
              </w:rPr>
              <w:t>unkt A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E77C6" w:rsidRDefault="002E77C6" w:rsidP="006A749D">
            <w:pPr>
              <w:pStyle w:val="western"/>
              <w:rPr>
                <w:rFonts w:ascii="Arial" w:hAnsi="Arial" w:cs="Arial"/>
                <w:sz w:val="22"/>
                <w:szCs w:val="22"/>
              </w:rPr>
            </w:pPr>
          </w:p>
          <w:p w:rsidR="002E77C6" w:rsidRDefault="002E77C6" w:rsidP="006A749D">
            <w:pPr>
              <w:pStyle w:val="western"/>
              <w:rPr>
                <w:rFonts w:ascii="Arial" w:hAnsi="Arial" w:cs="Arial"/>
                <w:sz w:val="22"/>
                <w:szCs w:val="22"/>
              </w:rPr>
            </w:pPr>
          </w:p>
          <w:p w:rsidR="002E77C6" w:rsidRDefault="002E77C6" w:rsidP="006A749D">
            <w:pPr>
              <w:pStyle w:val="western"/>
              <w:rPr>
                <w:rFonts w:ascii="Arial" w:hAnsi="Arial" w:cs="Arial"/>
                <w:sz w:val="22"/>
                <w:szCs w:val="22"/>
              </w:rPr>
            </w:pPr>
          </w:p>
          <w:p w:rsidR="00866912" w:rsidRPr="00F22B7D" w:rsidRDefault="00D758D2" w:rsidP="006A749D">
            <w:pPr>
              <w:pStyle w:val="western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2"/>
                <w:szCs w:val="22"/>
              </w:rPr>
              <w:t>Minimum 26</w:t>
            </w:r>
            <w:r w:rsidR="00866912" w:rsidRPr="00F22B7D">
              <w:rPr>
                <w:rFonts w:ascii="Arial" w:hAnsi="Arial" w:cs="Arial"/>
                <w:sz w:val="22"/>
                <w:szCs w:val="22"/>
              </w:rPr>
              <w:t xml:space="preserve"> szt</w:t>
            </w:r>
            <w:r w:rsidR="00866912" w:rsidRPr="00F22B7D">
              <w:rPr>
                <w:rFonts w:ascii="Arial" w:hAnsi="Arial" w:cs="Arial"/>
                <w:sz w:val="28"/>
                <w:szCs w:val="28"/>
              </w:rPr>
              <w:t>.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Funkcje ECO oszczędzające energię.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Bezobsługowa automatyczna synchronizacja z serwerem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Slican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– instalacja Plug and Play.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Szyfrowana transmisja sygnalizacji oraz akustyki.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Opcjonalny moduł Bluetooth, dzięki któremu z pomocą zestawu słuchawkowego Bluetooth można odbierać i prowadzić rozmowy telefoniczne.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8 przycisków BLF.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Możliwość dołączenia konsol rozszerzających CTS-338.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Obsługiwane słuchawki bezprzewodowe (Bluetooth) lub przewodowe słuchawki nagłowne o impedancji nie większej niż 40 Ohm.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Wbudowany Switch – dwuportowy przełącznik sieci LAN.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Indywidualna nazwa własna telefonu.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Minimum 5 melodii dzwonka.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Indywidualny dzwonek domofonu.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12 stopni regulacji głośności dzwonka.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Regulowana głośność trybu głośnomówiącego, słuchawki przewodowej i zestawu słuchawkowego.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Automatyczny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upgrade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software telefonu.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Podświetlany, graficzny wyświetlacz LCD 2,8".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Co najmniej 12 poziomów jasności ekranu.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Energooszczędne funkcje ekranu.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Prezentacja godziny, dnia tygodnia i daty.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Prezentacja czasu połączenia w trakcie rozmowy.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Czytelna ikonografia.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Menu w języku polskim.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2-kierunkowe kółko do bezpośredniego wyboru funkcji i nawigacji upraszczające obsługę.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8 podświetlanych programowalnych przycisków z BLF.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5 klawiszy operacji głównych: SPEAKER symbol głośnika, HEADSET podświetlany dla słuchawek, CALL END zakończenie połączenia, TRANSFER klawisz przekazania połączenia, REDIAL powtórzenie ostatnio wybieranego numeru.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3 podświetlane klawisze funkcji: MUTE wyciszenie, PLUS/MINUS regulacja głośności, RING - optyczna sygnalizacja dzwonienia.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Tryb głośnomówiący.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Zestaw słuchawkowy - podświetlany przycisk włączenia zestawu.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Płynna regulacja głośności dzwonków i audio – przycisk kołyskowy.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Predefiniowane przyciski bezpośredniego dostępu do funkcji (programowalne): Nie przeszkadzać, Przekierowanie, Parkowanie Połączenie Trójstronne, Połączenie Pilne.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Indywidualny dzwonek domofonu.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Programowanie przycisków inteligentnego sterowania.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Książka telefoniczna prywatna i publiczna oraz spis numerów - do 10 tysięcy kontaktów, 20 tysięcy numerów oraz 1 tysiąca grup.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Wpis zawierający nazwę i numer.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Synchronizacja książki z komputerem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Slican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PhoneCTI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lub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Slican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TelefonCTI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umożliwiające wykonywanie połączeń telefonicznych z poziomu komputera. 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Synchronizacja telefonu z MS Outlook® – wybór telefonu z komputera.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Możliwość przypisania klawisza skrótu do wybranego kontaktu.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Możliwość zestawienia konferencji i połączeń trójstronnych z użyciem zachowanych kontaktów.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Historia połączeń odebranych / nieodebranych, wybieranych numerów –nazwa, numer oraz czas realizacji połączenia – do 1000 rekordów / połączeń zgodnie z historią w centrali.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Realizacja usług mobilnych abonentów -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Slican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MobilePhone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oraz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Slican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CallBack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Nagrywanie rozmów –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Slican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Embedded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Recording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Możliwość blokady / aktywacji telefonu na podstawie indywidualnego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PINu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użytkownika.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Automatyczne ponowne wybieranie numeru, ponowne wybieranie numeru ze spisu połączeń i przy zajętości.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Połączenia konferencyjne i połączenia trójstronne.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Nagrywanie rozmów -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Slican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Call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Recording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Praca zdalna i pracownicy mobilni –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Slican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MobilePhone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i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Slican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CallBack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Poczta Głosowa.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Zawieszanie / odrzucanie / wznawianie połączeń.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CLIR i CLIR chwilowy.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Informacja o połączeniu oczekującym.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Ręczne przekazywanie połączeń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Automatyczne przekierowanie połączeń w trakcie nieobecności, zajętości.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Blokowanie połączeń anonimowych i złośliwych (MCID).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Funkcja „Nie przeszkadzać”.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Muzyka podczas oczekiwania (Music on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Hold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).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Rejestr połączeń odebranych / nieodebranych.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Usługa „Jestem tutaj” przywołująca indywidualny profil użytkownika telefonu.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Funkcje ECO oszczędzające energię.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Bezobsługowa automatyczna synchronizacja z serwerem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Slican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– instalacja Plug and Play.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Automatyczny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upgrade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software telefonu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FE452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Zasilanie Power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over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Ethernet (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PoE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: IEEE 802.af, klasa 0, </w:t>
            </w:r>
            <w:r w:rsidR="00FE4526">
              <w:rPr>
                <w:rFonts w:ascii="Arial" w:hAnsi="Arial" w:cs="Arial"/>
                <w:color w:val="000000"/>
                <w:sz w:val="22"/>
                <w:szCs w:val="22"/>
              </w:rPr>
              <w:t>wymagany dodatkowo l</w:t>
            </w: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okalny zasilacz 12V/1A).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Kolor czarny.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Możliwy montaż naścienny - niezawodny uchwyt słuchawki.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Gniazdo do słuchawek nagłownych o impedancji nie większej niż 40 Ohm (wtyk RJ9).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Szyfrowana transmisja sygnalizacji i akustyki.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Punkt B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FE452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 xml:space="preserve">Minimum </w:t>
            </w:r>
            <w:r w:rsidR="00FE4526">
              <w:rPr>
                <w:rFonts w:ascii="Arial" w:hAnsi="Arial" w:cs="Arial"/>
                <w:sz w:val="22"/>
                <w:szCs w:val="22"/>
              </w:rPr>
              <w:t>4</w:t>
            </w:r>
            <w:r w:rsidRPr="00F22B7D"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System głośnomówiący.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Wyświetlacz graficzny.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 xml:space="preserve">Prezentacja numeru abonenta dzwoniącego wraz z nazwą z książki telefonicznej lub </w:t>
            </w:r>
            <w:proofErr w:type="spellStart"/>
            <w:r w:rsidRPr="00F22B7D">
              <w:rPr>
                <w:rFonts w:ascii="Arial" w:hAnsi="Arial" w:cs="Arial"/>
                <w:sz w:val="22"/>
                <w:szCs w:val="22"/>
              </w:rPr>
              <w:t>bazydanych</w:t>
            </w:r>
            <w:proofErr w:type="spellEnd"/>
            <w:r w:rsidRPr="00F22B7D">
              <w:rPr>
                <w:rFonts w:ascii="Arial" w:hAnsi="Arial" w:cs="Arial"/>
                <w:sz w:val="22"/>
                <w:szCs w:val="22"/>
              </w:rPr>
              <w:t xml:space="preserve"> centrali.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Co najmniej 5 różnych rodzajów dzwonków.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Klawisze z materiału ABS.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Menu co najmniej w języku polskim.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Minimum 12 klawiszy programowalnych z sygnalizacją LED.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Możliwość dołączenia co najmniej 1 konsoli rozszerzającej posiadającej minimum 30 programowalnych klawiszy.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Dostęp do dwóch książek telefonicznych (publicznej i prywatnej) oraz spisu numerów wewnętrznych.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Poruszanie się po menu za pomocą klawiszy „do przodu”, „wstecz”, „góra”, „dół”.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Kontekstowe działanie klawiszy (+/-) – głośniej ciszej.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Optyczna sygnalizacja dzwonienia i nieodebranych połączeń.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Funkcja automatycznej próby dodzwonienia się do wcześniej zajętego lub nieodbierającego abonenta.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Podręczny spis połączeń wykonywanych, odebranych i nieodebranych.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Cyfrowa transmisja z centralą po 1 parze przewodów po styku U do 500m.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Konfiguracja jako interkom (np. do sekretarki).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Ustawienia telefonu przechowywane w centrali.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Możliwość programowania ustawień programem konfiguracyjnym centrali.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Współpraca ze słuchawkami nagłownymi.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Punkt C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FE4526" w:rsidP="00866912">
            <w:pPr>
              <w:pStyle w:val="western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Minimum 8</w:t>
            </w:r>
            <w:r w:rsidR="00866912" w:rsidRPr="00F22B7D">
              <w:rPr>
                <w:rFonts w:ascii="Arial" w:hAnsi="Arial" w:cs="Arial"/>
                <w:sz w:val="22"/>
                <w:szCs w:val="22"/>
              </w:rPr>
              <w:t xml:space="preserve"> szt.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eastAsia="Symbol" w:hAnsi="Arial" w:cs="Arial"/>
                <w:color w:val="000000"/>
                <w:sz w:val="22"/>
                <w:szCs w:val="22"/>
              </w:rPr>
              <w:t>Co najmniej 8 programowalnych przycisków uniwersalnego przeznaczenia, np. sygnalizacja stanu abonenta, szybkie wybieranie, usługi centralowe, skróty do wpisów w książkach telefonicznych.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eastAsia="Symbol" w:hAnsi="Arial" w:cs="Arial"/>
                <w:color w:val="000000"/>
                <w:sz w:val="22"/>
                <w:szCs w:val="22"/>
              </w:rPr>
              <w:t>Poruszanie się po menu za pomocą klawiszy „do przodu”, „wstecz”, „góra”, „dół”.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eastAsia="Symbol" w:hAnsi="Arial" w:cs="Arial"/>
                <w:color w:val="000000"/>
                <w:sz w:val="22"/>
                <w:szCs w:val="22"/>
              </w:rPr>
              <w:t>Kontekstowe działanie klawiszy (+/-) – głośniej ciszej.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Przycisk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: Flash, SPK ON, SPK OFF, Mute, Redial.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eastAsia="Symbol" w:hAnsi="Arial" w:cs="Arial"/>
                <w:color w:val="000000"/>
                <w:sz w:val="22"/>
                <w:szCs w:val="22"/>
              </w:rPr>
              <w:t>Menu co najmniej w języku polskim.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eastAsia="Symbol" w:hAnsi="Arial" w:cs="Arial"/>
                <w:color w:val="000000"/>
                <w:sz w:val="22"/>
                <w:szCs w:val="22"/>
              </w:rPr>
              <w:t>Dostęp do dwóch książek telefonicznych (publicznej i prywatnej) oraz spisu numerów wewnętrznych.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eastAsia="Symbol" w:hAnsi="Arial" w:cs="Arial"/>
                <w:color w:val="000000"/>
                <w:sz w:val="22"/>
                <w:szCs w:val="22"/>
              </w:rPr>
            </w:pPr>
            <w:r w:rsidRPr="00F22B7D">
              <w:rPr>
                <w:rFonts w:ascii="Arial" w:eastAsia="Symbol" w:hAnsi="Arial" w:cs="Arial"/>
                <w:color w:val="000000"/>
                <w:sz w:val="22"/>
                <w:szCs w:val="22"/>
              </w:rPr>
              <w:t>Podręczny spis połączeń wykonywanych, odebranych i nieodebranych dla co najmniej ostatnich połączeń.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eastAsia="Symbol" w:hAnsi="Arial" w:cs="Arial"/>
                <w:color w:val="000000"/>
                <w:sz w:val="22"/>
                <w:szCs w:val="22"/>
              </w:rPr>
              <w:t>Prezentacja numeru abonenta dzwoniącego wraz z nazwą z książki telefonicznej lub bazy danych centrali.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eastAsia="Symbol" w:hAnsi="Arial" w:cs="Arial"/>
                <w:color w:val="000000"/>
                <w:sz w:val="22"/>
                <w:szCs w:val="22"/>
              </w:rPr>
              <w:t>Prezentacja numeru wybranego przez inicjatora połączenia.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eastAsia="Symbol" w:hAnsi="Arial" w:cs="Arial"/>
                <w:color w:val="000000"/>
                <w:sz w:val="22"/>
                <w:szCs w:val="22"/>
              </w:rPr>
              <w:t>Prezentacja czasu połączenia w trakcie rozmowy.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eastAsia="Symbol" w:hAnsi="Arial" w:cs="Arial"/>
                <w:color w:val="000000"/>
                <w:sz w:val="22"/>
                <w:szCs w:val="22"/>
              </w:rPr>
              <w:t>Co najmniej 5 różnych rodzajów dzwonków.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eastAsia="Symbol" w:hAnsi="Arial" w:cs="Arial"/>
                <w:color w:val="000000"/>
                <w:sz w:val="22"/>
                <w:szCs w:val="22"/>
              </w:rPr>
              <w:t>Możliwość programowania ustawień telefonu poprzez program do konfiguracji centrali.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eastAsia="Symbol" w:hAnsi="Arial" w:cs="Arial"/>
                <w:color w:val="000000"/>
                <w:sz w:val="22"/>
                <w:szCs w:val="22"/>
              </w:rPr>
              <w:t>Funkcja automatycznej próby dodzwonienia się do wcześniej zajętego lub nieodbierającego abonenta.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eastAsia="Symbol" w:hAnsi="Arial" w:cs="Arial"/>
                <w:color w:val="000000"/>
                <w:sz w:val="22"/>
                <w:szCs w:val="22"/>
              </w:rPr>
              <w:t>cyfrowa transmisja z centralą po 1 parze przewodów po styku U do 500m.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eastAsia="Symbol" w:hAnsi="Arial" w:cs="Arial"/>
                <w:color w:val="000000"/>
                <w:sz w:val="22"/>
                <w:szCs w:val="22"/>
              </w:rPr>
              <w:t>Wyświetlacz LCD.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6912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66912" w:rsidRPr="00F22B7D" w:rsidRDefault="00866912" w:rsidP="00866912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eastAsia="Symbol" w:hAnsi="Arial" w:cs="Arial"/>
                <w:color w:val="000000"/>
                <w:sz w:val="22"/>
                <w:szCs w:val="22"/>
              </w:rPr>
              <w:t>Ustawienia telefonu przechowywane w centrali.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66912" w:rsidRPr="00F22B7D" w:rsidRDefault="00866912" w:rsidP="00866912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F16" w:rsidRPr="00F22B7D" w:rsidTr="004014B9">
        <w:trPr>
          <w:jc w:val="center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Punkt D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Minimum 2 szt.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Dedykowana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konsola </w:t>
            </w: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do telefonów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Slican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serii CTS-330 i CTS-220.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F16" w:rsidRPr="00F22B7D" w:rsidTr="004014B9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38 (2x19) programowalnych klawiszy - można do nich przypisać dowolny numer wewnętrzny, zewnętrzny, zaprogramować funkcję centrali lub automatyki np. przejęcie połączenia, otwieranie bramy itp.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F16" w:rsidRPr="00F22B7D" w:rsidTr="004014B9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Do telefonu można przyłączyć jednocześnie 4 konsole - dodatkowe 152 programowalne przyciski.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F16" w:rsidRPr="00F22B7D" w:rsidTr="004014B9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Diody LED przy programowalnych przyciskach - sygnalizacja stanu łączy przypisanych do przycisku - zapalona dioda informuje o zajętości numeru wewnętrznego zapisanego pod tym przyciskiem.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F16" w:rsidRPr="00F22B7D" w:rsidTr="004014B9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Do prawidłowej pracy konieczne jest podłączenie zasilacza zewnętrznego 12V lub zasilenia telefonu w wersji IP z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PoE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F16" w:rsidRPr="00F22B7D" w:rsidTr="00815F16">
        <w:trPr>
          <w:jc w:val="center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Pozostałe elementy usług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1 komplet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Gwarancja w okresie trwania dzierżawy.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F16" w:rsidRPr="00F22B7D" w:rsidTr="00815F16">
        <w:trPr>
          <w:jc w:val="center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>Centrala wraz z komponentami oraz wszystkie urządzenia niezbędne do świadczenia opisanych usług muszą posiadać oznaczenia CE oraz być dopuszczone do użytku na terytorium RP i Unii Europejskiej.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F1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 xml:space="preserve">Czas reakcji na zgłoszenie awarii do 60 minut - </w:t>
            </w:r>
            <w:r w:rsidRPr="00F22B7D">
              <w:rPr>
                <w:rFonts w:ascii="Arial" w:hAnsi="Arial" w:cs="Arial"/>
                <w:b/>
                <w:sz w:val="22"/>
                <w:szCs w:val="22"/>
              </w:rPr>
              <w:t>bez oceny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F1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DD6EE" w:themeFill="accent1" w:themeFillTint="66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 xml:space="preserve">Czas reakcji na zgłoszenie awarii do 30 minut – </w:t>
            </w:r>
            <w:r w:rsidR="00B9633C">
              <w:rPr>
                <w:rFonts w:ascii="Arial" w:hAnsi="Arial" w:cs="Arial"/>
                <w:b/>
                <w:sz w:val="22"/>
                <w:szCs w:val="22"/>
              </w:rPr>
              <w:t>dodatkowe 10 pkt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F1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F74A2E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 xml:space="preserve">Czas usunięcia awarii do </w:t>
            </w:r>
            <w:r w:rsidR="00F74A2E">
              <w:rPr>
                <w:rFonts w:ascii="Arial" w:hAnsi="Arial" w:cs="Arial"/>
                <w:sz w:val="22"/>
                <w:szCs w:val="22"/>
              </w:rPr>
              <w:t>3</w:t>
            </w:r>
            <w:r w:rsidRPr="00F22B7D">
              <w:rPr>
                <w:rFonts w:ascii="Arial" w:hAnsi="Arial" w:cs="Arial"/>
                <w:sz w:val="22"/>
                <w:szCs w:val="22"/>
              </w:rPr>
              <w:t xml:space="preserve"> godzin - </w:t>
            </w:r>
            <w:r w:rsidRPr="00F22B7D">
              <w:rPr>
                <w:rFonts w:ascii="Arial" w:hAnsi="Arial" w:cs="Arial"/>
                <w:b/>
                <w:sz w:val="22"/>
                <w:szCs w:val="22"/>
              </w:rPr>
              <w:t>bez oceny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F1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DD6EE" w:themeFill="accent1" w:themeFillTint="66"/>
            <w:vAlign w:val="center"/>
          </w:tcPr>
          <w:p w:rsidR="00815F16" w:rsidRPr="00F22B7D" w:rsidRDefault="00815F16" w:rsidP="00F74A2E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 xml:space="preserve">Czas usunięcia awarii do </w:t>
            </w:r>
            <w:r w:rsidR="00F74A2E">
              <w:rPr>
                <w:rFonts w:ascii="Arial" w:hAnsi="Arial" w:cs="Arial"/>
                <w:sz w:val="22"/>
                <w:szCs w:val="22"/>
              </w:rPr>
              <w:t>1</w:t>
            </w:r>
            <w:r w:rsidRPr="00F22B7D">
              <w:rPr>
                <w:rFonts w:ascii="Arial" w:hAnsi="Arial" w:cs="Arial"/>
                <w:sz w:val="22"/>
                <w:szCs w:val="22"/>
              </w:rPr>
              <w:t xml:space="preserve"> godzin – </w:t>
            </w:r>
            <w:r w:rsidR="00B9633C">
              <w:rPr>
                <w:rFonts w:ascii="Arial" w:hAnsi="Arial" w:cs="Arial"/>
                <w:b/>
                <w:sz w:val="22"/>
                <w:szCs w:val="22"/>
              </w:rPr>
              <w:t>dodatkowe 10 pkt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4A2E" w:rsidRPr="00F22B7D" w:rsidTr="00F74A2E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74A2E" w:rsidRPr="00F22B7D" w:rsidRDefault="00F74A2E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74A2E" w:rsidRPr="00F22B7D" w:rsidRDefault="00F74A2E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74A2E" w:rsidRPr="00F22B7D" w:rsidRDefault="00F74A2E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4A2E" w:rsidRPr="00F74A2E" w:rsidRDefault="00F74A2E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  <w:r w:rsidRPr="00F74A2E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dostępność usługi w okresie rozliczeniowym na poziomie nie mniejszym niż 99,85%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4A2E" w:rsidRPr="00F22B7D" w:rsidRDefault="00F74A2E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4A2E" w:rsidRPr="00F22B7D" w:rsidTr="00F74A2E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74A2E" w:rsidRPr="00F22B7D" w:rsidRDefault="00F74A2E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74A2E" w:rsidRPr="00F22B7D" w:rsidRDefault="00F74A2E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74A2E" w:rsidRPr="00F22B7D" w:rsidRDefault="00F74A2E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DD6EE" w:themeFill="accent1" w:themeFillTint="66"/>
            <w:vAlign w:val="center"/>
          </w:tcPr>
          <w:p w:rsidR="00F74A2E" w:rsidRPr="00F74A2E" w:rsidRDefault="00F74A2E" w:rsidP="00815F16">
            <w:pPr>
              <w:pStyle w:val="western"/>
              <w:spacing w:before="0"/>
              <w:rPr>
                <w:rFonts w:ascii="Arial" w:hAnsi="Arial" w:cs="Arial"/>
                <w:sz w:val="22"/>
                <w:szCs w:val="22"/>
              </w:rPr>
            </w:pPr>
            <w:r w:rsidRPr="00F74A2E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dostępność usługi w okresie rozliczeniowym na poziomie nie mniejszym niż 99,95%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F22B7D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Pr="00F22B7D">
              <w:rPr>
                <w:rFonts w:ascii="Arial" w:hAnsi="Arial" w:cs="Arial"/>
                <w:b/>
                <w:sz w:val="22"/>
                <w:szCs w:val="22"/>
              </w:rPr>
              <w:t xml:space="preserve">dodatkowe </w:t>
            </w:r>
            <w:r>
              <w:rPr>
                <w:rFonts w:ascii="Arial" w:hAnsi="Arial" w:cs="Arial"/>
                <w:b/>
                <w:sz w:val="22"/>
                <w:szCs w:val="22"/>
              </w:rPr>
              <w:t>10</w:t>
            </w:r>
            <w:r w:rsidR="00B9633C">
              <w:rPr>
                <w:rFonts w:ascii="Arial" w:hAnsi="Arial" w:cs="Arial"/>
                <w:b/>
                <w:sz w:val="22"/>
                <w:szCs w:val="22"/>
              </w:rPr>
              <w:t xml:space="preserve"> pkt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F74A2E" w:rsidRPr="00F22B7D" w:rsidRDefault="00F74A2E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F1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 xml:space="preserve">Termin zakończenia prac instalacyjno-wdrożeniowych do 10 dni kalendarzowych licząc od dnia podpisania umowy - </w:t>
            </w:r>
            <w:r w:rsidRPr="00F22B7D">
              <w:rPr>
                <w:rFonts w:ascii="Arial" w:hAnsi="Arial" w:cs="Arial"/>
                <w:b/>
                <w:sz w:val="22"/>
                <w:szCs w:val="22"/>
              </w:rPr>
              <w:t>bez oceny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F1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DD6EE" w:themeFill="accent1" w:themeFillTint="66"/>
            <w:vAlign w:val="center"/>
          </w:tcPr>
          <w:p w:rsidR="00815F16" w:rsidRPr="00F22B7D" w:rsidRDefault="00815F16" w:rsidP="00F74A2E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 xml:space="preserve">Termin zakończenia prac instalacyjno-wdrożeniowych do 7 dni kalendarzowych licząc od dnia podpisania umowy – </w:t>
            </w:r>
            <w:r w:rsidRPr="00F22B7D">
              <w:rPr>
                <w:rFonts w:ascii="Arial" w:hAnsi="Arial" w:cs="Arial"/>
                <w:b/>
                <w:sz w:val="22"/>
                <w:szCs w:val="22"/>
              </w:rPr>
              <w:t xml:space="preserve">dodatkowe </w:t>
            </w:r>
            <w:r w:rsidR="00F74A2E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B9633C">
              <w:rPr>
                <w:rFonts w:ascii="Arial" w:hAnsi="Arial" w:cs="Arial"/>
                <w:b/>
                <w:sz w:val="22"/>
                <w:szCs w:val="22"/>
              </w:rPr>
              <w:t xml:space="preserve"> pkt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F1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 xml:space="preserve">Termin rozpoczęcia świadczenia usług telefonii do 7 dni kalendarzowych od zakończenia prac instalacyjno-wdrożeniowych - </w:t>
            </w:r>
            <w:r w:rsidRPr="00F22B7D">
              <w:rPr>
                <w:rFonts w:ascii="Arial" w:hAnsi="Arial" w:cs="Arial"/>
                <w:b/>
                <w:sz w:val="22"/>
                <w:szCs w:val="22"/>
              </w:rPr>
              <w:t>bez oceny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F1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DD6EE" w:themeFill="accent1" w:themeFillTint="66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</w:rPr>
            </w:pPr>
            <w:r w:rsidRPr="00F22B7D">
              <w:rPr>
                <w:rFonts w:ascii="Arial" w:hAnsi="Arial" w:cs="Arial"/>
                <w:sz w:val="22"/>
                <w:szCs w:val="22"/>
              </w:rPr>
              <w:t xml:space="preserve">Termin rozpoczęcia świadczenia usług telefonii do 5 dni kalendarzowych od zakończenia prac instalacyjno-wdrożeniowych – </w:t>
            </w:r>
            <w:r w:rsidR="00F74A2E">
              <w:rPr>
                <w:rFonts w:ascii="Arial" w:hAnsi="Arial" w:cs="Arial"/>
                <w:b/>
                <w:sz w:val="22"/>
                <w:szCs w:val="22"/>
              </w:rPr>
              <w:t>dodatkowe 5</w:t>
            </w:r>
            <w:r w:rsidR="00B9633C">
              <w:rPr>
                <w:rFonts w:ascii="Arial" w:hAnsi="Arial" w:cs="Arial"/>
                <w:b/>
                <w:sz w:val="22"/>
                <w:szCs w:val="22"/>
              </w:rPr>
              <w:t xml:space="preserve"> pkt</w:t>
            </w:r>
            <w:bookmarkStart w:id="0" w:name="_GoBack"/>
            <w:bookmarkEnd w:id="0"/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5F16" w:rsidRPr="00F22B7D" w:rsidTr="00815F16">
        <w:trPr>
          <w:jc w:val="center"/>
        </w:trPr>
        <w:tc>
          <w:tcPr>
            <w:tcW w:w="67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pacing w:before="0"/>
              <w:rPr>
                <w:rFonts w:ascii="Arial" w:hAnsi="Arial" w:cs="Arial"/>
                <w:color w:val="000000"/>
              </w:rPr>
            </w:pPr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Rozliczanie usługi w postaci jednej zbiorowej comiesięcznej faktury VAT za opisane usługi w formie papierowej lub postaci elektronicznej przekazywanej na adres Zamawiającego w Platformie Elektronicznego Fakturowania lub skrzynkę mailową Zamawiającego lub skrzynkę </w:t>
            </w:r>
            <w:proofErr w:type="spellStart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>ePUAP</w:t>
            </w:r>
            <w:proofErr w:type="spellEnd"/>
            <w:r w:rsidRPr="00F22B7D">
              <w:rPr>
                <w:rFonts w:ascii="Arial" w:hAnsi="Arial" w:cs="Arial"/>
                <w:color w:val="000000"/>
                <w:sz w:val="22"/>
                <w:szCs w:val="22"/>
              </w:rPr>
              <w:t xml:space="preserve"> lub PEF Zamawiającego.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5F16" w:rsidRPr="00F22B7D" w:rsidRDefault="00815F16" w:rsidP="00815F16">
            <w:pPr>
              <w:pStyle w:val="western"/>
              <w:snapToGrid w:val="0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A2D39" w:rsidRDefault="001A2D39" w:rsidP="00815F16">
      <w:pPr>
        <w:jc w:val="both"/>
        <w:rPr>
          <w:rFonts w:ascii="Arial" w:hAnsi="Arial" w:cs="Arial"/>
        </w:rPr>
      </w:pPr>
    </w:p>
    <w:p w:rsidR="00F74A2E" w:rsidRPr="00466C2D" w:rsidRDefault="00F74A2E" w:rsidP="00F74A2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66C2D">
        <w:rPr>
          <w:rFonts w:ascii="Arial" w:hAnsi="Arial" w:cs="Arial"/>
        </w:rPr>
        <w:t>Poziom dostępności usługi będzie wyliczany przez Zamawiającego na podstawie wzoru: U=(1-(</w:t>
      </w:r>
      <w:proofErr w:type="spellStart"/>
      <w:r w:rsidRPr="00466C2D">
        <w:rPr>
          <w:rFonts w:ascii="Arial" w:hAnsi="Arial" w:cs="Arial"/>
        </w:rPr>
        <w:t>Tn</w:t>
      </w:r>
      <w:proofErr w:type="spellEnd"/>
      <w:r w:rsidRPr="00466C2D">
        <w:rPr>
          <w:rFonts w:ascii="Arial" w:hAnsi="Arial" w:cs="Arial"/>
        </w:rPr>
        <w:t>/Tc))*100%, gdzie:</w:t>
      </w:r>
    </w:p>
    <w:p w:rsidR="00F74A2E" w:rsidRPr="00466C2D" w:rsidRDefault="00F74A2E" w:rsidP="00466C2D">
      <w:pPr>
        <w:pStyle w:val="Akapitzlist"/>
        <w:numPr>
          <w:ilvl w:val="0"/>
          <w:numId w:val="5"/>
        </w:numPr>
        <w:suppressAutoHyphens w:val="0"/>
        <w:spacing w:line="360" w:lineRule="auto"/>
        <w:ind w:left="851" w:firstLine="0"/>
        <w:contextualSpacing/>
        <w:jc w:val="both"/>
        <w:rPr>
          <w:rFonts w:ascii="Arial" w:hAnsi="Arial" w:cs="Arial"/>
        </w:rPr>
      </w:pPr>
      <w:r w:rsidRPr="00466C2D">
        <w:rPr>
          <w:rFonts w:ascii="Arial" w:hAnsi="Arial" w:cs="Arial"/>
        </w:rPr>
        <w:t>Tc – całkowita liczba minut przypadająca na dany okres rozliczeniowy,</w:t>
      </w:r>
    </w:p>
    <w:p w:rsidR="00466C2D" w:rsidRDefault="00F74A2E" w:rsidP="00466C2D">
      <w:pPr>
        <w:pStyle w:val="Akapitzlist"/>
        <w:numPr>
          <w:ilvl w:val="0"/>
          <w:numId w:val="5"/>
        </w:numPr>
        <w:suppressAutoHyphens w:val="0"/>
        <w:spacing w:line="360" w:lineRule="auto"/>
        <w:ind w:left="851" w:firstLine="0"/>
        <w:contextualSpacing/>
        <w:jc w:val="both"/>
        <w:rPr>
          <w:rFonts w:ascii="Arial" w:hAnsi="Arial" w:cs="Arial"/>
        </w:rPr>
      </w:pPr>
      <w:proofErr w:type="spellStart"/>
      <w:r w:rsidRPr="00466C2D">
        <w:rPr>
          <w:rFonts w:ascii="Arial" w:hAnsi="Arial" w:cs="Arial"/>
        </w:rPr>
        <w:t>Tn</w:t>
      </w:r>
      <w:proofErr w:type="spellEnd"/>
      <w:r w:rsidRPr="00466C2D">
        <w:rPr>
          <w:rFonts w:ascii="Arial" w:hAnsi="Arial" w:cs="Arial"/>
        </w:rPr>
        <w:t xml:space="preserve"> – łączna liczba minut niedostępności w okresie rozliczeniowym,</w:t>
      </w:r>
    </w:p>
    <w:p w:rsidR="00F74A2E" w:rsidRPr="00466C2D" w:rsidRDefault="00F74A2E" w:rsidP="00466C2D">
      <w:pPr>
        <w:pStyle w:val="Akapitzlist"/>
        <w:numPr>
          <w:ilvl w:val="0"/>
          <w:numId w:val="5"/>
        </w:numPr>
        <w:suppressAutoHyphens w:val="0"/>
        <w:spacing w:line="360" w:lineRule="auto"/>
        <w:ind w:left="851" w:firstLine="0"/>
        <w:contextualSpacing/>
        <w:jc w:val="both"/>
        <w:rPr>
          <w:rFonts w:ascii="Arial" w:hAnsi="Arial" w:cs="Arial"/>
        </w:rPr>
      </w:pPr>
      <w:r w:rsidRPr="00466C2D">
        <w:rPr>
          <w:rFonts w:ascii="Arial" w:hAnsi="Arial" w:cs="Arial"/>
        </w:rPr>
        <w:t>Czas trwania niedostępności liczony jest od momentu zgłoszenia awarii przez oficjalny kanał kontaktowy z dostawcą usługi.</w:t>
      </w:r>
    </w:p>
    <w:p w:rsidR="00F74A2E" w:rsidRPr="00466C2D" w:rsidRDefault="00F74A2E" w:rsidP="00F74A2E">
      <w:pPr>
        <w:pStyle w:val="Akapitzlist"/>
        <w:numPr>
          <w:ilvl w:val="0"/>
          <w:numId w:val="1"/>
        </w:numPr>
        <w:suppressAutoHyphens w:val="0"/>
        <w:spacing w:line="360" w:lineRule="auto"/>
        <w:contextualSpacing/>
        <w:jc w:val="both"/>
        <w:rPr>
          <w:rFonts w:ascii="Arial" w:hAnsi="Arial" w:cs="Arial"/>
        </w:rPr>
      </w:pPr>
      <w:r w:rsidRPr="00466C2D">
        <w:rPr>
          <w:rFonts w:ascii="Arial" w:hAnsi="Arial" w:cs="Arial"/>
        </w:rPr>
        <w:t>SLA nie obejmuje awarii po stronie Zamawiającego, siły wyższej, wandalizmu, robót ziemnych i prac planowanych jeśli te były wcześniej zgłaszane Zamawiającemu. Prace planowane nie mogą stanowić wartości większej niż:</w:t>
      </w:r>
    </w:p>
    <w:p w:rsidR="00F74A2E" w:rsidRPr="00466C2D" w:rsidRDefault="00F74A2E" w:rsidP="00466C2D">
      <w:pPr>
        <w:pStyle w:val="Akapitzlist"/>
        <w:numPr>
          <w:ilvl w:val="0"/>
          <w:numId w:val="6"/>
        </w:numPr>
        <w:suppressAutoHyphens w:val="0"/>
        <w:spacing w:line="360" w:lineRule="auto"/>
        <w:ind w:firstLine="131"/>
        <w:contextualSpacing/>
        <w:jc w:val="both"/>
        <w:rPr>
          <w:rFonts w:ascii="Arial" w:hAnsi="Arial" w:cs="Arial"/>
        </w:rPr>
      </w:pPr>
      <w:r w:rsidRPr="00466C2D">
        <w:rPr>
          <w:rFonts w:ascii="Arial" w:hAnsi="Arial" w:cs="Arial"/>
        </w:rPr>
        <w:t>1% łącznej dostępnej liczby minut usługi przypadającej na okres rozliczeniowy.</w:t>
      </w:r>
    </w:p>
    <w:p w:rsidR="00F74A2E" w:rsidRPr="00466C2D" w:rsidRDefault="00F74A2E" w:rsidP="00466C2D">
      <w:pPr>
        <w:pStyle w:val="Akapitzlist"/>
        <w:numPr>
          <w:ilvl w:val="0"/>
          <w:numId w:val="6"/>
        </w:numPr>
        <w:suppressAutoHyphens w:val="0"/>
        <w:spacing w:line="360" w:lineRule="auto"/>
        <w:ind w:firstLine="131"/>
        <w:contextualSpacing/>
        <w:jc w:val="both"/>
        <w:rPr>
          <w:rFonts w:ascii="Arial" w:hAnsi="Arial" w:cs="Arial"/>
        </w:rPr>
      </w:pPr>
      <w:r w:rsidRPr="00466C2D">
        <w:rPr>
          <w:rFonts w:ascii="Arial" w:hAnsi="Arial" w:cs="Arial"/>
        </w:rPr>
        <w:t>1% łącznej dostępnej liczby minut usługi przypadającej na okres kwartalny.</w:t>
      </w:r>
    </w:p>
    <w:p w:rsidR="00F74A2E" w:rsidRPr="00466C2D" w:rsidRDefault="00F74A2E" w:rsidP="00F74A2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66C2D">
        <w:rPr>
          <w:rFonts w:ascii="Arial" w:hAnsi="Arial" w:cs="Arial"/>
        </w:rPr>
        <w:t xml:space="preserve">Wykonawca samodzielnie uzyska ewentualne pozwolenia, o ile będą wymagane, oraz dokona niezbędnych ustaleń technicznych w celu podłączenia usług. </w:t>
      </w:r>
    </w:p>
    <w:p w:rsidR="00F74A2E" w:rsidRDefault="00F74A2E" w:rsidP="00F74A2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66C2D">
        <w:rPr>
          <w:rFonts w:ascii="Arial" w:hAnsi="Arial" w:cs="Arial"/>
        </w:rPr>
        <w:t>Wykonawca pokrywa wszelkie koszty związane z uzyskaniem ew. pozwoleń i prowadzeniem praw instalacyjnych/technicznych</w:t>
      </w:r>
      <w:r w:rsidR="00C652F2">
        <w:rPr>
          <w:rFonts w:ascii="Arial" w:hAnsi="Arial" w:cs="Arial"/>
        </w:rPr>
        <w:t xml:space="preserve"> </w:t>
      </w:r>
      <w:r w:rsidRPr="00466C2D">
        <w:rPr>
          <w:rFonts w:ascii="Arial" w:hAnsi="Arial" w:cs="Arial"/>
        </w:rPr>
        <w:t>z wyjątkiem wskazanych jednorazowych usług aktywacyjnych</w:t>
      </w:r>
      <w:r w:rsidR="00C652F2">
        <w:rPr>
          <w:rFonts w:ascii="Arial" w:hAnsi="Arial" w:cs="Arial"/>
        </w:rPr>
        <w:t xml:space="preserve"> </w:t>
      </w:r>
      <w:r w:rsidRPr="00466C2D">
        <w:rPr>
          <w:rFonts w:ascii="Arial" w:hAnsi="Arial" w:cs="Arial"/>
        </w:rPr>
        <w:t>/</w:t>
      </w:r>
      <w:r w:rsidR="00C652F2">
        <w:rPr>
          <w:rFonts w:ascii="Arial" w:hAnsi="Arial" w:cs="Arial"/>
        </w:rPr>
        <w:t xml:space="preserve"> </w:t>
      </w:r>
      <w:r w:rsidRPr="00466C2D">
        <w:rPr>
          <w:rFonts w:ascii="Arial" w:hAnsi="Arial" w:cs="Arial"/>
        </w:rPr>
        <w:t>instalacyjnych związanych z ur</w:t>
      </w:r>
      <w:r w:rsidR="00466C2D">
        <w:rPr>
          <w:rFonts w:ascii="Arial" w:hAnsi="Arial" w:cs="Arial"/>
        </w:rPr>
        <w:t xml:space="preserve">uchomień usługi łącza głównego </w:t>
      </w:r>
      <w:r w:rsidRPr="00466C2D">
        <w:rPr>
          <w:rFonts w:ascii="Arial" w:hAnsi="Arial" w:cs="Arial"/>
        </w:rPr>
        <w:t xml:space="preserve">i awaryjnego. </w:t>
      </w:r>
    </w:p>
    <w:p w:rsidR="00F6653E" w:rsidRDefault="00F6653E" w:rsidP="00F6653E">
      <w:pPr>
        <w:spacing w:line="360" w:lineRule="auto"/>
        <w:jc w:val="both"/>
        <w:rPr>
          <w:rFonts w:ascii="Arial" w:hAnsi="Arial" w:cs="Arial"/>
        </w:rPr>
      </w:pPr>
    </w:p>
    <w:p w:rsidR="00F6653E" w:rsidRDefault="00F6653E" w:rsidP="00F6653E">
      <w:pPr>
        <w:spacing w:line="360" w:lineRule="auto"/>
        <w:jc w:val="both"/>
        <w:rPr>
          <w:rFonts w:ascii="Arial" w:hAnsi="Arial" w:cs="Arial"/>
        </w:rPr>
      </w:pPr>
    </w:p>
    <w:p w:rsidR="00F6653E" w:rsidRPr="00F6653E" w:rsidRDefault="00F6653E" w:rsidP="00F6653E">
      <w:pPr>
        <w:spacing w:line="360" w:lineRule="auto"/>
        <w:jc w:val="both"/>
        <w:rPr>
          <w:rFonts w:ascii="Arial" w:hAnsi="Arial" w:cs="Arial"/>
        </w:rPr>
      </w:pPr>
    </w:p>
    <w:p w:rsidR="00F6653E" w:rsidRPr="00F6653E" w:rsidRDefault="00F6653E" w:rsidP="00F6653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74A2E" w:rsidRPr="00466C2D">
        <w:rPr>
          <w:rFonts w:ascii="Arial" w:hAnsi="Arial" w:cs="Arial"/>
        </w:rPr>
        <w:t xml:space="preserve">Wykonawca zobowiązany jest powiadomić Zamawiającego każdorazowo o planowanych przerwach technicznych nie później niż 72h przed planowaną przerwą telefonicznie na numer:  664-191-354 lub 71 30-11-396 oraz emailem na adres: informatyka@zozolawa.wroc.pl. </w:t>
      </w:r>
    </w:p>
    <w:p w:rsidR="00F74A2E" w:rsidRPr="00466C2D" w:rsidRDefault="00F74A2E" w:rsidP="00F74A2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66C2D">
        <w:rPr>
          <w:rFonts w:ascii="Arial" w:hAnsi="Arial" w:cs="Arial"/>
        </w:rPr>
        <w:t>Wykonawca musi być wpisany do ostatniego aktualnego rejestru przedsiębiorstw telekomunikacyjnych prowadzonego i publikowanego przez Urząd Komunikacji Elektronicznej.</w:t>
      </w:r>
    </w:p>
    <w:p w:rsidR="00F74A2E" w:rsidRDefault="00F74A2E" w:rsidP="00815F16">
      <w:pPr>
        <w:jc w:val="both"/>
        <w:rPr>
          <w:rFonts w:ascii="Arial" w:hAnsi="Arial" w:cs="Arial"/>
        </w:rPr>
      </w:pPr>
    </w:p>
    <w:p w:rsidR="00F6653E" w:rsidRDefault="00F6653E" w:rsidP="00815F16">
      <w:pPr>
        <w:jc w:val="both"/>
        <w:rPr>
          <w:rFonts w:ascii="Arial" w:hAnsi="Arial" w:cs="Arial"/>
        </w:rPr>
      </w:pPr>
    </w:p>
    <w:p w:rsidR="00F6653E" w:rsidRDefault="00F6653E" w:rsidP="00815F16">
      <w:pPr>
        <w:jc w:val="both"/>
        <w:rPr>
          <w:rFonts w:ascii="Arial" w:hAnsi="Arial" w:cs="Arial"/>
        </w:rPr>
      </w:pPr>
    </w:p>
    <w:p w:rsidR="00F6653E" w:rsidRDefault="00F6653E" w:rsidP="00815F16">
      <w:pPr>
        <w:jc w:val="both"/>
        <w:rPr>
          <w:rFonts w:ascii="Arial" w:hAnsi="Arial" w:cs="Arial"/>
        </w:rPr>
      </w:pPr>
    </w:p>
    <w:p w:rsidR="00F6653E" w:rsidRDefault="00F6653E" w:rsidP="00F6653E">
      <w:pPr>
        <w:jc w:val="both"/>
      </w:pPr>
    </w:p>
    <w:p w:rsidR="00F6653E" w:rsidRDefault="00F6653E" w:rsidP="00F6653E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……………., dnia……………r.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………………………….</w:t>
      </w:r>
    </w:p>
    <w:p w:rsidR="00F6653E" w:rsidRDefault="00F6653E" w:rsidP="00F6653E">
      <w:pPr>
        <w:jc w:val="both"/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(podpis osoby/osób upoważnionych do reprezentowania)</w:t>
      </w:r>
    </w:p>
    <w:p w:rsidR="00F6653E" w:rsidRPr="00F22B7D" w:rsidRDefault="00F6653E" w:rsidP="00815F16">
      <w:pPr>
        <w:jc w:val="both"/>
        <w:rPr>
          <w:rFonts w:ascii="Arial" w:hAnsi="Arial" w:cs="Arial"/>
        </w:rPr>
      </w:pPr>
    </w:p>
    <w:sectPr w:rsidR="00F6653E" w:rsidRPr="00F22B7D">
      <w:headerReference w:type="default" r:id="rId7"/>
      <w:footerReference w:type="default" r:id="rId8"/>
      <w:pgSz w:w="11906" w:h="16838"/>
      <w:pgMar w:top="765" w:right="567" w:bottom="765" w:left="567" w:header="709" w:footer="709" w:gutter="0"/>
      <w:pgNumType w:start="1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7C8" w:rsidRDefault="008A37C8">
      <w:r>
        <w:separator/>
      </w:r>
    </w:p>
  </w:endnote>
  <w:endnote w:type="continuationSeparator" w:id="0">
    <w:p w:rsidR="008A37C8" w:rsidRDefault="008A3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Mono">
    <w:panose1 w:val="02070409020205020404"/>
    <w:charset w:val="EE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451C" w:rsidRDefault="00037A57">
    <w:pPr>
      <w:pStyle w:val="Stopka"/>
      <w:tabs>
        <w:tab w:val="clear" w:pos="4536"/>
        <w:tab w:val="clear" w:pos="9072"/>
      </w:tabs>
      <w:ind w:right="360"/>
    </w:pPr>
    <w:r>
      <w:rPr>
        <w:noProof/>
        <w:sz w:val="16"/>
        <w:szCs w:val="16"/>
        <w:lang w:eastAsia="pl-PL"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page">
                <wp:posOffset>7047230</wp:posOffset>
              </wp:positionH>
              <wp:positionV relativeFrom="paragraph">
                <wp:posOffset>635</wp:posOffset>
              </wp:positionV>
              <wp:extent cx="340995" cy="172720"/>
              <wp:effectExtent l="8255" t="635" r="3175" b="762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995" cy="1727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F451C" w:rsidRDefault="00EF451C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B9633C">
                            <w:rPr>
                              <w:rStyle w:val="Numerstrony"/>
                              <w:noProof/>
                            </w:rPr>
                            <w:t>12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4.9pt;margin-top:.05pt;width:26.85pt;height:13.6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UWWiwIAACMFAAAOAAAAZHJzL2Uyb0RvYy54bWysVNmO2yAUfa/Uf0C8Z7yMs9gaZzRLU1Wa&#10;LtJMP4AYHKNioEBiT0f9914g27QvVdU8OBe4HM6598DV9dgLtGPGciVrnF2kGDHZKMrlpsZfn1aT&#10;BUbWEUmJUJLV+JlZfL18++Zq0BXLVacEZQYBiLTVoGvcOaerJLFNx3piL5RmEhZbZXriYGg2CTVk&#10;APReJHmazpJBGaqNapi1MHsfF/Ey4Lcta9zntrXMIVFj4ObC14Tv2n+T5RWpNobojjd7GuQfWPSE&#10;Szj0CHVPHEFbw/+A6nljlFWtu2hUn6i25Q0LGkBNlv6m5rEjmgUtUByrj2Wy/w+2+bT7YhCn0DuM&#10;JOmhRU9sdOhWjSjz1Rm0rSDpUUOaG2HaZ3qlVj+o5ptFUt11RG7YjTFq6BihwC7sTM62RhzrQdbD&#10;R0XhGLJ1KgCNrek9IBQDATp06fnYGU+lgcnLIi3LKUYNLGXzfJ6HziWkOmzWxrr3TPXIBzU20PgA&#10;TnYP1oEMSD2kBPJKcLriQoSB2azvhEE7AiZZhV/cK3RH4uzhOBtTA549xxDSI0nlMeNxcQYEAAG/&#10;5qUER7yUWV6kt3k5Wc0W80mxKqaTcp4uJmlW3paztCiL+9VPzyArqo5TyuQDl+zgzqz4u+7v70n0&#10;VfAnGmpcTvNpEPeK/V7WXmvqf773ULRXaT13cFkF72u8OCaRyjf9naSwgVSOcBHj5DX9gAY1OPyH&#10;qgSLeFdEf7hxPQKK981a0Wcwi1HQTHAEvDAQdMr8wGiA21pj+31LDMNIfJBguNklmMOdQnMK16eQ&#10;yAYgauwwiuGdi0/BVhu+6eCEaG2pbsCcLQ/GObEB6n4ANzGI2L8a/qqfj0PW6W1b/gIAAP//AwBQ&#10;SwMEFAAGAAgAAAAhACX0qjTfAAAACQEAAA8AAABkcnMvZG93bnJldi54bWxMj0FPg0AQhe8m/ofN&#10;mHizC21aFVkarRpjejBFDx4HdgpEdpawC6X/3uWkx5dv8t436XYyrRipd41lBfEiAkFcWt1wpeDr&#10;8/XmDoTzyBpby6TgTA622eVFiom2Jz7QmPtKhBJ2CSqove8SKV1Zk0G3sB1xYEfbG/Qh9pXUPZ5C&#10;uWnlMoo20mDDYaHGjnY1lT/5YBTkz+PHt9y/H7sy3r3si7en4bw+KHV9NT0+gPA0+b9jmPWDOmTB&#10;qbADayfakOPoPrj7mYiZx5vVGkShYHm7Apml8v8H2S8AAAD//wMAUEsBAi0AFAAGAAgAAAAhALaD&#10;OJL+AAAA4QEAABMAAAAAAAAAAAAAAAAAAAAAAFtDb250ZW50X1R5cGVzXS54bWxQSwECLQAUAAYA&#10;CAAAACEAOP0h/9YAAACUAQAACwAAAAAAAAAAAAAAAAAvAQAAX3JlbHMvLnJlbHNQSwECLQAUAAYA&#10;CAAAACEAo3VFlosCAAAjBQAADgAAAAAAAAAAAAAAAAAuAgAAZHJzL2Uyb0RvYy54bWxQSwECLQAU&#10;AAYACAAAACEAJfSqNN8AAAAJAQAADwAAAAAAAAAAAAAAAADlBAAAZHJzL2Rvd25yZXYueG1sUEsF&#10;BgAAAAAEAAQA8wAAAPEFAAAAAA==&#10;" stroked="f">
              <v:fill opacity="0"/>
              <v:textbox inset=".05pt,.05pt,.05pt,.05pt">
                <w:txbxContent>
                  <w:p w:rsidR="00EF451C" w:rsidRDefault="00EF451C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B9633C">
                      <w:rPr>
                        <w:rStyle w:val="Numerstrony"/>
                        <w:noProof/>
                      </w:rPr>
                      <w:t>12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  <w:r w:rsidR="00EF451C">
      <w:rPr>
        <w:sz w:val="16"/>
        <w:szCs w:val="16"/>
      </w:rPr>
      <w:t>Dyrektor - +48 (71) 301-13-13</w:t>
    </w:r>
    <w:r w:rsidR="00EF451C">
      <w:rPr>
        <w:sz w:val="16"/>
        <w:szCs w:val="16"/>
      </w:rPr>
      <w:tab/>
    </w:r>
    <w:r w:rsidR="00EF451C">
      <w:rPr>
        <w:sz w:val="16"/>
        <w:szCs w:val="16"/>
      </w:rPr>
      <w:tab/>
    </w:r>
    <w:r w:rsidR="00EF451C">
      <w:rPr>
        <w:sz w:val="16"/>
        <w:szCs w:val="16"/>
      </w:rPr>
      <w:tab/>
      <w:t>Księgowość - +48 (71) 301-13-19</w:t>
    </w:r>
    <w:r w:rsidR="00EF451C">
      <w:rPr>
        <w:sz w:val="16"/>
        <w:szCs w:val="16"/>
      </w:rPr>
      <w:tab/>
    </w:r>
    <w:r w:rsidR="00EF451C">
      <w:rPr>
        <w:sz w:val="16"/>
        <w:szCs w:val="16"/>
      </w:rPr>
      <w:tab/>
      <w:t xml:space="preserve">Zamówienia Publiczne - </w:t>
    </w:r>
    <w:r w:rsidR="00F6653E">
      <w:rPr>
        <w:sz w:val="16"/>
        <w:szCs w:val="16"/>
      </w:rPr>
      <w:t>+48 (71) 301-13-03</w:t>
    </w:r>
  </w:p>
  <w:p w:rsidR="00EF451C" w:rsidRDefault="00EF451C">
    <w:pPr>
      <w:pStyle w:val="Stopka"/>
      <w:tabs>
        <w:tab w:val="clear" w:pos="4536"/>
        <w:tab w:val="clear" w:pos="9072"/>
      </w:tabs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EF451C" w:rsidRDefault="00EF451C">
    <w:pPr>
      <w:pStyle w:val="Stopka"/>
      <w:tabs>
        <w:tab w:val="clear" w:pos="4536"/>
        <w:tab w:val="clear" w:pos="9072"/>
      </w:tabs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EF451C" w:rsidRDefault="00EF451C">
    <w:pPr>
      <w:pStyle w:val="Stopka"/>
      <w:tabs>
        <w:tab w:val="clear" w:pos="4536"/>
        <w:tab w:val="clear" w:pos="9072"/>
      </w:tabs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7C8" w:rsidRDefault="008A37C8">
      <w:r>
        <w:separator/>
      </w:r>
    </w:p>
  </w:footnote>
  <w:footnote w:type="continuationSeparator" w:id="0">
    <w:p w:rsidR="008A37C8" w:rsidRDefault="008A37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451C" w:rsidRDefault="00037A57">
    <w:pPr>
      <w:pStyle w:val="Nagwek"/>
      <w:tabs>
        <w:tab w:val="clear" w:pos="4536"/>
        <w:tab w:val="clear" w:pos="9072"/>
      </w:tabs>
      <w:ind w:left="551" w:firstLine="709"/>
    </w:pPr>
    <w:r>
      <w:rPr>
        <w:rFonts w:ascii="Tahoma" w:hAnsi="Tahoma" w:cs="Tahoma"/>
        <w:b/>
        <w:bCs/>
        <w:noProof/>
        <w:sz w:val="22"/>
        <w:szCs w:val="22"/>
        <w:lang w:eastAsia="pl-PL"/>
      </w:rPr>
      <w:drawing>
        <wp:anchor distT="0" distB="0" distL="114935" distR="114935" simplePos="0" relativeHeight="251658240" behindDoc="0" locked="0" layoutInCell="1" allowOverlap="1">
          <wp:simplePos x="0" y="0"/>
          <wp:positionH relativeFrom="column">
            <wp:posOffset>66040</wp:posOffset>
          </wp:positionH>
          <wp:positionV relativeFrom="paragraph">
            <wp:posOffset>-31750</wp:posOffset>
          </wp:positionV>
          <wp:extent cx="683260" cy="676275"/>
          <wp:effectExtent l="0" t="0" r="2540" b="952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70" t="-70" r="-70" b="-70"/>
                  <a:stretch>
                    <a:fillRect/>
                  </a:stretch>
                </pic:blipFill>
                <pic:spPr bwMode="auto">
                  <a:xfrm>
                    <a:off x="0" y="0"/>
                    <a:ext cx="683260" cy="6762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F451C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EF451C" w:rsidRDefault="00EF451C">
    <w:pPr>
      <w:pStyle w:val="Nagwek"/>
      <w:tabs>
        <w:tab w:val="clear" w:pos="4536"/>
        <w:tab w:val="clear" w:pos="9072"/>
      </w:tabs>
      <w:ind w:left="1260"/>
    </w:pPr>
    <w:r>
      <w:rPr>
        <w:rFonts w:ascii="Tahoma" w:eastAsia="Tahoma" w:hAnsi="Tahoma" w:cs="Tahoma"/>
        <w:bCs/>
        <w:sz w:val="20"/>
        <w:szCs w:val="20"/>
      </w:rPr>
      <w:t xml:space="preserve"> </w:t>
    </w:r>
    <w:r>
      <w:rPr>
        <w:rFonts w:ascii="Tahoma" w:hAnsi="Tahoma" w:cs="Tahoma"/>
        <w:bCs/>
        <w:sz w:val="20"/>
        <w:szCs w:val="20"/>
      </w:rPr>
      <w:t xml:space="preserve">ul. </w:t>
    </w:r>
    <w:proofErr w:type="spellStart"/>
    <w:r>
      <w:rPr>
        <w:rFonts w:ascii="Tahoma" w:hAnsi="Tahoma" w:cs="Tahoma"/>
        <w:bCs/>
        <w:sz w:val="20"/>
        <w:szCs w:val="20"/>
      </w:rPr>
      <w:t>K.K.Baczyńskiego</w:t>
    </w:r>
    <w:proofErr w:type="spellEnd"/>
    <w:r>
      <w:rPr>
        <w:rFonts w:ascii="Tahoma" w:hAnsi="Tahoma" w:cs="Tahoma"/>
        <w:bCs/>
        <w:sz w:val="20"/>
        <w:szCs w:val="20"/>
      </w:rPr>
      <w:t xml:space="preserve"> 1</w:t>
    </w:r>
  </w:p>
  <w:p w:rsidR="00EF451C" w:rsidRDefault="00EF451C">
    <w:pPr>
      <w:pStyle w:val="Nagwek"/>
      <w:tabs>
        <w:tab w:val="clear" w:pos="4536"/>
        <w:tab w:val="clear" w:pos="9072"/>
      </w:tabs>
      <w:ind w:left="1260"/>
    </w:pPr>
    <w:r>
      <w:rPr>
        <w:rFonts w:ascii="Tahoma" w:hAnsi="Tahoma" w:cs="Tahoma"/>
        <w:bCs/>
        <w:sz w:val="20"/>
        <w:szCs w:val="20"/>
      </w:rPr>
      <w:t>55-200 Oława</w:t>
    </w:r>
  </w:p>
  <w:p w:rsidR="00EF451C" w:rsidRDefault="00EF451C">
    <w:pPr>
      <w:pStyle w:val="Nagwek"/>
      <w:tabs>
        <w:tab w:val="clear" w:pos="4536"/>
        <w:tab w:val="clear" w:pos="9072"/>
      </w:tabs>
      <w:ind w:left="551" w:firstLine="709"/>
    </w:pPr>
    <w:r>
      <w:rPr>
        <w:rFonts w:ascii="Tahoma" w:hAnsi="Tahoma" w:cs="Tahoma"/>
        <w:bCs/>
        <w:sz w:val="20"/>
        <w:szCs w:val="20"/>
      </w:rPr>
      <w:t>REGON: 000306816 NIP: 912-16-50-658</w:t>
    </w:r>
    <w:r>
      <w:rPr>
        <w:rFonts w:ascii="Tahoma" w:hAnsi="Tahoma" w:cs="Tahoma"/>
        <w:bCs/>
        <w:sz w:val="20"/>
        <w:szCs w:val="20"/>
      </w:rPr>
      <w:tab/>
    </w:r>
    <w:r>
      <w:rPr>
        <w:rFonts w:ascii="Tahoma" w:hAnsi="Tahoma" w:cs="Tahoma"/>
        <w:bCs/>
        <w:sz w:val="20"/>
        <w:szCs w:val="20"/>
      </w:rPr>
      <w:tab/>
    </w:r>
    <w:r>
      <w:rPr>
        <w:rFonts w:ascii="Tahoma" w:hAnsi="Tahoma" w:cs="Tahoma"/>
        <w:bCs/>
        <w:sz w:val="20"/>
        <w:szCs w:val="20"/>
      </w:rPr>
      <w:tab/>
    </w:r>
    <w:r>
      <w:rPr>
        <w:rFonts w:ascii="Tahoma" w:hAnsi="Tahoma" w:cs="Tahoma"/>
        <w:bCs/>
        <w:sz w:val="20"/>
        <w:szCs w:val="20"/>
      </w:rPr>
      <w:tab/>
      <w:t xml:space="preserve">            </w:t>
    </w:r>
  </w:p>
  <w:p w:rsidR="00EF451C" w:rsidRDefault="00EF451C">
    <w:pPr>
      <w:pStyle w:val="Nagwek"/>
      <w:tabs>
        <w:tab w:val="clear" w:pos="4536"/>
        <w:tab w:val="clear" w:pos="9072"/>
      </w:tabs>
      <w:jc w:val="center"/>
    </w:pPr>
    <w:r>
      <w:rPr>
        <w:rFonts w:ascii="Tahoma" w:hAnsi="Tahoma" w:cs="Tahoma"/>
        <w:bCs/>
        <w:sz w:val="20"/>
        <w:szCs w:val="20"/>
        <w:lang w:val="en-US"/>
      </w:rPr>
      <w:t xml:space="preserve">tel.: +48 (71) 301-13-00        </w:t>
    </w:r>
    <w:r w:rsidRPr="001C3ACC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www.zozolawa.wroc.pl        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D18EE9F0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6727E17"/>
    <w:multiLevelType w:val="hybridMultilevel"/>
    <w:tmpl w:val="23B2D4DE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336E4B35"/>
    <w:multiLevelType w:val="hybridMultilevel"/>
    <w:tmpl w:val="DDB05B8C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16342F"/>
    <w:multiLevelType w:val="hybridMultilevel"/>
    <w:tmpl w:val="4C7CBEF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77CC11D8"/>
    <w:multiLevelType w:val="hybridMultilevel"/>
    <w:tmpl w:val="93FA8A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65C"/>
    <w:rsid w:val="00037A57"/>
    <w:rsid w:val="0005065C"/>
    <w:rsid w:val="00072606"/>
    <w:rsid w:val="000772B0"/>
    <w:rsid w:val="000933FC"/>
    <w:rsid w:val="00146E7B"/>
    <w:rsid w:val="001A2D39"/>
    <w:rsid w:val="001C3ACC"/>
    <w:rsid w:val="00251AAB"/>
    <w:rsid w:val="00273EE1"/>
    <w:rsid w:val="002C2D29"/>
    <w:rsid w:val="002E6FFE"/>
    <w:rsid w:val="002E77C6"/>
    <w:rsid w:val="00317C16"/>
    <w:rsid w:val="003617AD"/>
    <w:rsid w:val="003C7031"/>
    <w:rsid w:val="004104A7"/>
    <w:rsid w:val="00416FFD"/>
    <w:rsid w:val="00466C2D"/>
    <w:rsid w:val="004E2DC3"/>
    <w:rsid w:val="0054222B"/>
    <w:rsid w:val="00582641"/>
    <w:rsid w:val="006A5CFC"/>
    <w:rsid w:val="006A749D"/>
    <w:rsid w:val="00701925"/>
    <w:rsid w:val="0080139C"/>
    <w:rsid w:val="00815F16"/>
    <w:rsid w:val="00866912"/>
    <w:rsid w:val="008A0ED7"/>
    <w:rsid w:val="008A37C8"/>
    <w:rsid w:val="008B2D3F"/>
    <w:rsid w:val="009B6AAF"/>
    <w:rsid w:val="009D10C0"/>
    <w:rsid w:val="009F4AA6"/>
    <w:rsid w:val="00A17D8C"/>
    <w:rsid w:val="00A52DB5"/>
    <w:rsid w:val="00A62A69"/>
    <w:rsid w:val="00AB0160"/>
    <w:rsid w:val="00B9633C"/>
    <w:rsid w:val="00BF5D7E"/>
    <w:rsid w:val="00C652F2"/>
    <w:rsid w:val="00C82CC4"/>
    <w:rsid w:val="00D1685D"/>
    <w:rsid w:val="00D462F1"/>
    <w:rsid w:val="00D57544"/>
    <w:rsid w:val="00D67C1F"/>
    <w:rsid w:val="00D758D2"/>
    <w:rsid w:val="00DF0389"/>
    <w:rsid w:val="00E63E56"/>
    <w:rsid w:val="00EE179C"/>
    <w:rsid w:val="00EF451C"/>
    <w:rsid w:val="00F22B7D"/>
    <w:rsid w:val="00F6653E"/>
    <w:rsid w:val="00F74A2E"/>
    <w:rsid w:val="00FA1145"/>
    <w:rsid w:val="00FB4713"/>
    <w:rsid w:val="00FE4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C81D9331-F3D3-40AE-B8C3-474EC2B6D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2">
    <w:name w:val="Domyślna czcionka akapitu2"/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8z0">
    <w:name w:val="WW8Num8z0"/>
  </w:style>
  <w:style w:type="character" w:customStyle="1" w:styleId="WW8Num8z1">
    <w:name w:val="WW8Num8z1"/>
    <w:rPr>
      <w:rFonts w:ascii="Symbol" w:hAnsi="Symbol" w:cs="Symbol" w:hint="default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Symbol" w:hAnsi="Symbol" w:cs="Symbol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Symbol" w:hAnsi="Symbol" w:cs="Symbol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3z0">
    <w:name w:val="WW8Num13z0"/>
    <w:rPr>
      <w:rFonts w:ascii="Symbol" w:hAnsi="Symbol" w:cs="Symbol" w:hint="default"/>
      <w:sz w:val="20"/>
    </w:rPr>
  </w:style>
  <w:style w:type="character" w:customStyle="1" w:styleId="WW8Num13z1">
    <w:name w:val="WW8Num13z1"/>
    <w:rPr>
      <w:rFonts w:ascii="Courier New" w:hAnsi="Courier New" w:cs="Courier New" w:hint="default"/>
      <w:sz w:val="20"/>
    </w:rPr>
  </w:style>
  <w:style w:type="character" w:customStyle="1" w:styleId="WW8Num13z2">
    <w:name w:val="WW8Num13z2"/>
    <w:rPr>
      <w:rFonts w:ascii="Wingdings" w:hAnsi="Wingdings" w:cs="Wingdings" w:hint="default"/>
      <w:sz w:val="20"/>
    </w:rPr>
  </w:style>
  <w:style w:type="character" w:customStyle="1" w:styleId="WW8Num14z0">
    <w:name w:val="WW8Num14z0"/>
    <w:rPr>
      <w:rFonts w:ascii="Symbol" w:hAnsi="Symbol" w:cs="Symbol" w:hint="default"/>
      <w:sz w:val="20"/>
    </w:rPr>
  </w:style>
  <w:style w:type="character" w:customStyle="1" w:styleId="WW8Num14z1">
    <w:name w:val="WW8Num14z1"/>
    <w:rPr>
      <w:rFonts w:ascii="Courier New" w:hAnsi="Courier New" w:cs="Courier New" w:hint="default"/>
      <w:sz w:val="20"/>
    </w:rPr>
  </w:style>
  <w:style w:type="character" w:customStyle="1" w:styleId="WW8Num14z2">
    <w:name w:val="WW8Num14z2"/>
    <w:rPr>
      <w:rFonts w:ascii="Wingdings" w:hAnsi="Wingdings" w:cs="Wingdings" w:hint="default"/>
      <w:sz w:val="20"/>
    </w:rPr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ascii="Symbol" w:hAnsi="Symbol" w:cs="Symbol" w:hint="default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8z0">
    <w:name w:val="WW8Num18z0"/>
    <w:rPr>
      <w:rFonts w:ascii="Symbol" w:hAnsi="Symbol" w:cs="Symbol" w:hint="default"/>
      <w:sz w:val="20"/>
    </w:rPr>
  </w:style>
  <w:style w:type="character" w:customStyle="1" w:styleId="WW8Num18z1">
    <w:name w:val="WW8Num18z1"/>
    <w:rPr>
      <w:rFonts w:ascii="Courier New" w:hAnsi="Courier New" w:cs="Courier New" w:hint="default"/>
      <w:sz w:val="20"/>
    </w:rPr>
  </w:style>
  <w:style w:type="character" w:customStyle="1" w:styleId="WW8Num18z2">
    <w:name w:val="WW8Num18z2"/>
    <w:rPr>
      <w:rFonts w:ascii="Wingdings" w:hAnsi="Wingdings" w:cs="Wingdings" w:hint="default"/>
      <w:sz w:val="20"/>
    </w:rPr>
  </w:style>
  <w:style w:type="character" w:customStyle="1" w:styleId="WW8Num19z0">
    <w:name w:val="WW8Num19z0"/>
    <w:rPr>
      <w:rFonts w:ascii="Symbol" w:hAnsi="Symbol" w:cs="Symbol" w:hint="default"/>
      <w:sz w:val="20"/>
    </w:rPr>
  </w:style>
  <w:style w:type="character" w:customStyle="1" w:styleId="WW8Num19z1">
    <w:name w:val="WW8Num19z1"/>
    <w:rPr>
      <w:rFonts w:ascii="Courier New" w:hAnsi="Courier New" w:cs="Courier New" w:hint="default"/>
      <w:sz w:val="20"/>
    </w:rPr>
  </w:style>
  <w:style w:type="character" w:customStyle="1" w:styleId="WW8Num19z2">
    <w:name w:val="WW8Num19z2"/>
    <w:rPr>
      <w:rFonts w:ascii="Wingdings" w:hAnsi="Wingdings" w:cs="Wingdings" w:hint="default"/>
      <w:sz w:val="20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1z3">
    <w:name w:val="WW8Num21z3"/>
    <w:rPr>
      <w:rFonts w:ascii="Symbol" w:hAnsi="Symbol" w:cs="Symbol" w:hint="default"/>
    </w:rPr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  <w:rPr>
      <w:rFonts w:ascii="Courier New" w:hAnsi="Courier New" w:cs="Courier New" w:hint="default"/>
    </w:rPr>
  </w:style>
  <w:style w:type="character" w:customStyle="1" w:styleId="WW8Num23z2">
    <w:name w:val="WW8Num23z2"/>
    <w:rPr>
      <w:rFonts w:ascii="Wingdings" w:hAnsi="Wingdings" w:cs="Wingdings" w:hint="default"/>
    </w:rPr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Symbol" w:hAnsi="Symbol" w:cs="Symbol" w:hint="default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6z0">
    <w:name w:val="WW8Num26z0"/>
    <w:rPr>
      <w:rFonts w:ascii="Symbol" w:hAnsi="Symbol" w:cs="Symbol" w:hint="default"/>
    </w:rPr>
  </w:style>
  <w:style w:type="character" w:customStyle="1" w:styleId="WW8Num26z1">
    <w:name w:val="WW8Num26z1"/>
    <w:rPr>
      <w:rFonts w:ascii="Courier New" w:hAnsi="Courier New" w:cs="Courier New" w:hint="default"/>
    </w:rPr>
  </w:style>
  <w:style w:type="character" w:customStyle="1" w:styleId="WW8Num26z2">
    <w:name w:val="WW8Num26z2"/>
    <w:rPr>
      <w:rFonts w:ascii="Wingdings" w:hAnsi="Wingdings" w:cs="Wingdings" w:hint="default"/>
    </w:rPr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Symbol" w:hAnsi="Symbol" w:cs="Symbol" w:hint="default"/>
      <w:sz w:val="20"/>
    </w:rPr>
  </w:style>
  <w:style w:type="character" w:customStyle="1" w:styleId="WW8Num29z1">
    <w:name w:val="WW8Num29z1"/>
    <w:rPr>
      <w:rFonts w:ascii="Courier New" w:hAnsi="Courier New" w:cs="Courier New" w:hint="default"/>
      <w:sz w:val="20"/>
    </w:rPr>
  </w:style>
  <w:style w:type="character" w:customStyle="1" w:styleId="WW8Num29z2">
    <w:name w:val="WW8Num29z2"/>
    <w:rPr>
      <w:rFonts w:ascii="Wingdings" w:hAnsi="Wingdings" w:cs="Wingdings" w:hint="default"/>
      <w:sz w:val="20"/>
    </w:rPr>
  </w:style>
  <w:style w:type="character" w:customStyle="1" w:styleId="WW8Num30z0">
    <w:name w:val="WW8Num30z0"/>
    <w:rPr>
      <w:rFonts w:ascii="Symbol" w:hAnsi="Symbol" w:cs="Symbol" w:hint="default"/>
    </w:rPr>
  </w:style>
  <w:style w:type="character" w:customStyle="1" w:styleId="WW8Num30z1">
    <w:name w:val="WW8Num30z1"/>
    <w:rPr>
      <w:rFonts w:ascii="Courier New" w:hAnsi="Courier New" w:cs="Courier New" w:hint="default"/>
    </w:rPr>
  </w:style>
  <w:style w:type="character" w:customStyle="1" w:styleId="WW8Num30z2">
    <w:name w:val="WW8Num30z2"/>
    <w:rPr>
      <w:rFonts w:ascii="Wingdings" w:hAnsi="Wingdings" w:cs="Wingdings" w:hint="default"/>
    </w:rPr>
  </w:style>
  <w:style w:type="character" w:customStyle="1" w:styleId="WW8Num31z0">
    <w:name w:val="WW8Num31z0"/>
    <w:rPr>
      <w:rFonts w:ascii="Symbol" w:hAnsi="Symbol" w:cs="Symbol" w:hint="default"/>
    </w:rPr>
  </w:style>
  <w:style w:type="character" w:customStyle="1" w:styleId="WW8Num31z1">
    <w:name w:val="WW8Num31z1"/>
    <w:rPr>
      <w:rFonts w:ascii="Courier New" w:hAnsi="Courier New" w:cs="Courier New" w:hint="default"/>
    </w:rPr>
  </w:style>
  <w:style w:type="character" w:customStyle="1" w:styleId="WW8Num31z2">
    <w:name w:val="WW8Num31z2"/>
    <w:rPr>
      <w:rFonts w:ascii="Wingdings" w:hAnsi="Wingdings" w:cs="Wingdings" w:hint="default"/>
    </w:rPr>
  </w:style>
  <w:style w:type="character" w:customStyle="1" w:styleId="WW8Num32z0">
    <w:name w:val="WW8Num32z0"/>
    <w:rPr>
      <w:rFonts w:ascii="Symbol" w:hAnsi="Symbol" w:cs="Symbol" w:hint="default"/>
      <w:sz w:val="20"/>
    </w:rPr>
  </w:style>
  <w:style w:type="character" w:customStyle="1" w:styleId="WW8Num32z1">
    <w:name w:val="WW8Num32z1"/>
    <w:rPr>
      <w:rFonts w:ascii="Courier New" w:hAnsi="Courier New" w:cs="Courier New" w:hint="default"/>
      <w:sz w:val="20"/>
    </w:rPr>
  </w:style>
  <w:style w:type="character" w:customStyle="1" w:styleId="WW8Num32z2">
    <w:name w:val="WW8Num32z2"/>
    <w:rPr>
      <w:rFonts w:ascii="Wingdings" w:hAnsi="Wingdings" w:cs="Wingdings" w:hint="default"/>
      <w:sz w:val="20"/>
    </w:rPr>
  </w:style>
  <w:style w:type="character" w:customStyle="1" w:styleId="WW8Num33z0">
    <w:name w:val="WW8Num33z0"/>
    <w:rPr>
      <w:rFonts w:ascii="Arial" w:hAnsi="Arial" w:cs="Arial"/>
      <w:b/>
      <w:bCs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Symbol" w:hAnsi="Symbol" w:cs="Symbol" w:hint="default"/>
    </w:rPr>
  </w:style>
  <w:style w:type="character" w:customStyle="1" w:styleId="WW8Num34z1">
    <w:name w:val="WW8Num34z1"/>
    <w:rPr>
      <w:rFonts w:ascii="Courier New" w:hAnsi="Courier New" w:cs="Courier New" w:hint="default"/>
    </w:rPr>
  </w:style>
  <w:style w:type="character" w:customStyle="1" w:styleId="WW8Num34z2">
    <w:name w:val="WW8Num34z2"/>
    <w:rPr>
      <w:rFonts w:ascii="Wingdings" w:hAnsi="Wingdings" w:cs="Wingdings" w:hint="default"/>
    </w:rPr>
  </w:style>
  <w:style w:type="character" w:customStyle="1" w:styleId="WW8Num35z0">
    <w:name w:val="WW8Num35z0"/>
    <w:rPr>
      <w:rFonts w:ascii="Symbol" w:hAnsi="Symbol" w:cs="Symbol" w:hint="default"/>
    </w:rPr>
  </w:style>
  <w:style w:type="character" w:customStyle="1" w:styleId="WW8Num35z1">
    <w:name w:val="WW8Num35z1"/>
    <w:rPr>
      <w:rFonts w:ascii="Courier New" w:hAnsi="Courier New" w:cs="Courier New" w:hint="default"/>
    </w:rPr>
  </w:style>
  <w:style w:type="character" w:customStyle="1" w:styleId="WW8Num35z2">
    <w:name w:val="WW8Num35z2"/>
    <w:rPr>
      <w:rFonts w:ascii="Wingdings" w:hAnsi="Wingdings" w:cs="Wingdings" w:hint="default"/>
    </w:rPr>
  </w:style>
  <w:style w:type="character" w:customStyle="1" w:styleId="WW8Num36z0">
    <w:name w:val="WW8Num36z0"/>
    <w:rPr>
      <w:rFonts w:ascii="Symbol" w:hAnsi="Symbol" w:cs="Symbol" w:hint="default"/>
      <w:sz w:val="20"/>
    </w:rPr>
  </w:style>
  <w:style w:type="character" w:customStyle="1" w:styleId="WW8Num36z1">
    <w:name w:val="WW8Num36z1"/>
    <w:rPr>
      <w:rFonts w:ascii="Courier New" w:hAnsi="Courier New" w:cs="Courier New" w:hint="default"/>
      <w:sz w:val="20"/>
    </w:rPr>
  </w:style>
  <w:style w:type="character" w:customStyle="1" w:styleId="WW8Num36z2">
    <w:name w:val="WW8Num36z2"/>
    <w:rPr>
      <w:rFonts w:ascii="Wingdings" w:hAnsi="Wingdings" w:cs="Wingdings" w:hint="default"/>
      <w:sz w:val="20"/>
    </w:rPr>
  </w:style>
  <w:style w:type="character" w:customStyle="1" w:styleId="WW8Num37z0">
    <w:name w:val="WW8Num37z0"/>
    <w:rPr>
      <w:rFonts w:ascii="Symbol" w:hAnsi="Symbol" w:cs="Symbol" w:hint="default"/>
    </w:rPr>
  </w:style>
  <w:style w:type="character" w:customStyle="1" w:styleId="WW8Num37z1">
    <w:name w:val="WW8Num37z1"/>
    <w:rPr>
      <w:rFonts w:ascii="Courier New" w:hAnsi="Courier New" w:cs="Courier New" w:hint="default"/>
    </w:rPr>
  </w:style>
  <w:style w:type="character" w:customStyle="1" w:styleId="WW8Num37z2">
    <w:name w:val="WW8Num37z2"/>
    <w:rPr>
      <w:rFonts w:ascii="Wingdings" w:hAnsi="Wingdings" w:cs="Wingdings" w:hint="default"/>
    </w:rPr>
  </w:style>
  <w:style w:type="character" w:customStyle="1" w:styleId="WW8Num38z0">
    <w:name w:val="WW8Num38z0"/>
    <w:rPr>
      <w:rFonts w:ascii="Symbol" w:hAnsi="Symbol" w:cs="Symbol" w:hint="default"/>
    </w:rPr>
  </w:style>
  <w:style w:type="character" w:customStyle="1" w:styleId="WW8Num38z1">
    <w:name w:val="WW8Num38z1"/>
    <w:rPr>
      <w:rFonts w:ascii="Courier New" w:hAnsi="Courier New" w:cs="Courier New" w:hint="default"/>
    </w:rPr>
  </w:style>
  <w:style w:type="character" w:customStyle="1" w:styleId="WW8Num38z2">
    <w:name w:val="WW8Num38z2"/>
    <w:rPr>
      <w:rFonts w:ascii="Wingdings" w:hAnsi="Wingdings" w:cs="Wingdings" w:hint="default"/>
    </w:rPr>
  </w:style>
  <w:style w:type="character" w:customStyle="1" w:styleId="WW8Num39z0">
    <w:name w:val="WW8Num39z0"/>
    <w:rPr>
      <w:rFonts w:ascii="Symbol" w:hAnsi="Symbol" w:cs="Symbol" w:hint="default"/>
    </w:rPr>
  </w:style>
  <w:style w:type="character" w:customStyle="1" w:styleId="WW8Num39z1">
    <w:name w:val="WW8Num39z1"/>
    <w:rPr>
      <w:rFonts w:ascii="Courier New" w:hAnsi="Courier New" w:cs="Courier New" w:hint="default"/>
    </w:rPr>
  </w:style>
  <w:style w:type="character" w:customStyle="1" w:styleId="WW8Num39z2">
    <w:name w:val="WW8Num39z2"/>
    <w:rPr>
      <w:rFonts w:ascii="Wingdings" w:hAnsi="Wingdings" w:cs="Wingdings" w:hint="default"/>
    </w:rPr>
  </w:style>
  <w:style w:type="character" w:customStyle="1" w:styleId="WW8Num40z0">
    <w:name w:val="WW8Num40z0"/>
    <w:rPr>
      <w:rFonts w:ascii="Symbol" w:hAnsi="Symbol" w:cs="Symbol" w:hint="default"/>
      <w:sz w:val="20"/>
    </w:rPr>
  </w:style>
  <w:style w:type="character" w:customStyle="1" w:styleId="WW8Num40z1">
    <w:name w:val="WW8Num40z1"/>
    <w:rPr>
      <w:rFonts w:ascii="Courier New" w:hAnsi="Courier New" w:cs="Courier New" w:hint="default"/>
      <w:sz w:val="20"/>
    </w:rPr>
  </w:style>
  <w:style w:type="character" w:customStyle="1" w:styleId="WW8Num40z2">
    <w:name w:val="WW8Num40z2"/>
    <w:rPr>
      <w:rFonts w:ascii="Wingdings" w:hAnsi="Wingdings" w:cs="Wingdings" w:hint="default"/>
      <w:sz w:val="20"/>
    </w:rPr>
  </w:style>
  <w:style w:type="character" w:customStyle="1" w:styleId="WW8Num41z0">
    <w:name w:val="WW8Num41z0"/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StopkaZnak">
    <w:name w:val="Stopka Znak"/>
    <w:rPr>
      <w:sz w:val="24"/>
      <w:szCs w:val="24"/>
    </w:rPr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customStyle="1" w:styleId="PlandokumentuZnak">
    <w:name w:val="Plan dokumentu Znak"/>
    <w:rPr>
      <w:rFonts w:ascii="Tahoma" w:hAnsi="Tahoma" w:cs="Tahoma"/>
      <w:sz w:val="16"/>
      <w:szCs w:val="16"/>
    </w:rPr>
  </w:style>
  <w:style w:type="character" w:customStyle="1" w:styleId="attributenametext">
    <w:name w:val="attribute_name_text"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rPr>
      <w:rFonts w:ascii="Helvetica" w:hAnsi="Helvetica" w:cs="Helvetic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podstawowyZnak">
    <w:name w:val="Tekst podstawowy Znak"/>
    <w:rPr>
      <w:rFonts w:eastAsia="Lucida Sans Unicode"/>
      <w:kern w:val="2"/>
      <w:sz w:val="24"/>
      <w:szCs w:val="24"/>
    </w:rPr>
  </w:style>
  <w:style w:type="character" w:styleId="UyteHipercze">
    <w:name w:val="FollowedHyperlink"/>
    <w:rPr>
      <w:color w:val="954F72"/>
      <w:u w:val="single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widowControl w:val="0"/>
      <w:spacing w:after="120"/>
    </w:pPr>
    <w:rPr>
      <w:rFonts w:eastAsia="Lucida Sans Unicode"/>
      <w:kern w:val="2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Plandokumentu1">
    <w:name w:val="Plan dokumentu1"/>
    <w:basedOn w:val="Normalny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kapitzlist">
    <w:name w:val="List Paragraph"/>
    <w:basedOn w:val="Normalny"/>
    <w:uiPriority w:val="99"/>
    <w:qFormat/>
    <w:pPr>
      <w:spacing w:after="160" w:line="252" w:lineRule="auto"/>
      <w:ind w:left="720"/>
    </w:pPr>
    <w:rPr>
      <w:rFonts w:ascii="Calibri" w:eastAsia="Calibri" w:hAnsi="Calibri"/>
      <w:sz w:val="22"/>
      <w:szCs w:val="22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western">
    <w:name w:val="western"/>
    <w:basedOn w:val="Normalny"/>
    <w:pPr>
      <w:spacing w:before="280" w:after="119"/>
    </w:pPr>
  </w:style>
  <w:style w:type="paragraph" w:styleId="NormalnyWeb">
    <w:name w:val="Normal (Web)"/>
    <w:basedOn w:val="Normalny"/>
    <w:pPr>
      <w:spacing w:before="280" w:after="280"/>
    </w:pPr>
  </w:style>
  <w:style w:type="paragraph" w:styleId="Bezodstpw">
    <w:name w:val="No Spacing"/>
    <w:qFormat/>
    <w:pPr>
      <w:suppressAutoHyphens/>
    </w:pPr>
    <w:rPr>
      <w:sz w:val="24"/>
      <w:szCs w:val="24"/>
      <w:lang w:eastAsia="zh-CN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customStyle="1" w:styleId="Tekstwstpniesformatowany">
    <w:name w:val="Tekst wstępnie sformatowany"/>
    <w:basedOn w:val="Normalny"/>
    <w:rPr>
      <w:rFonts w:ascii="Liberation Mono" w:eastAsia="NSimSun" w:hAnsi="Liberation Mono" w:cs="Liberation Mono"/>
      <w:sz w:val="20"/>
      <w:szCs w:val="20"/>
    </w:rPr>
  </w:style>
  <w:style w:type="paragraph" w:styleId="Mapadokumentu">
    <w:name w:val="Document Map"/>
    <w:basedOn w:val="Normalny"/>
    <w:semiHidden/>
    <w:rsid w:val="00FB4713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7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2621</Words>
  <Characters>15730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18315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zoz Oława</dc:creator>
  <cp:keywords/>
  <cp:lastModifiedBy>Paulina PZS. Zaremba-Sitnik</cp:lastModifiedBy>
  <cp:revision>18</cp:revision>
  <cp:lastPrinted>2023-12-21T13:31:00Z</cp:lastPrinted>
  <dcterms:created xsi:type="dcterms:W3CDTF">2025-12-11T07:15:00Z</dcterms:created>
  <dcterms:modified xsi:type="dcterms:W3CDTF">2026-01-05T10:50:00Z</dcterms:modified>
</cp:coreProperties>
</file>